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both"/>
        <w:outlineLvl w:val="9"/>
      </w:pPr>
      <w:bookmarkStart w:id="8" w:name="_GoBack"/>
      <w:bookmarkEnd w:id="8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承德应用技术职业学院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承德应用技术职业学院编制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承德市财政局审核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1.2022年度绩效工资提高倍数项目绩效目标表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2.2022年度运转经费  项目绩效目标表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3.2022年度中职生均公用经费项目绩效目标表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4.承德应用技术职业学院（中职）年初预算-中职生均公用经费绩效目标表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5.2021年中央现代职业教育高职经费绩效目标表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6.2022年度偿还国开行债务项目绩效目标表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7.2022年度偿还基金本金项目绩效目标表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8.2022年度偿还基金费用项目绩效目标表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pStyle w:val="8"/>
      </w:pPr>
    </w:p>
    <w:p>
      <w:pPr>
        <w:pStyle w:val="8"/>
      </w:pPr>
      <w:r>
        <w:t>一、总体绩效目标</w:t>
      </w:r>
    </w:p>
    <w:p>
      <w:pPr>
        <w:pStyle w:val="8"/>
      </w:pPr>
      <w:r>
        <w:t>坚持以习近平新时代中国特色社会主义思想为指导，全面贯彻党的教育方针，坚持社会主义办学方向，坚持“服务发展、促进就业”的办学宗旨，全面落实立德树人的根本任务。实施学院“135”三步走战略，坚定不移地走好“专业立校、科研强校、合作兴校、一体办校”之路，推进“育人提标、教师提质、文化提升、管理提效”四项工程。教育教学质量进一步提高，师资队伍建设进一步加强，专业群建设进一步优化，产教融合、校企协同育人功能进一步提升，服务承德“3+3”主导产业能力进一步增强，学院治理体系和治理能力进一步完善。完成中职1200人、高职2300人的招生任务，毕业生实际就业率达到90%以上。严格落实常态化疫情防控各项措施，坚决打赢疫情防控阻击战。</w:t>
      </w:r>
    </w:p>
    <w:p>
      <w:pPr>
        <w:pStyle w:val="8"/>
      </w:pPr>
    </w:p>
    <w:p>
      <w:pPr>
        <w:spacing w:before="10" w:after="10"/>
        <w:jc w:val="left"/>
        <w:outlineLvl w:val="1"/>
      </w:pPr>
    </w:p>
    <w:p>
      <w:pPr>
        <w:pStyle w:val="9"/>
      </w:pPr>
      <w:r>
        <w:t>二、分项绩效目标</w:t>
      </w:r>
    </w:p>
    <w:p>
      <w:pPr>
        <w:pStyle w:val="9"/>
      </w:pPr>
      <w:r>
        <w:t>（一）加强思想政治教育，落实立德树人根本任务。</w:t>
      </w:r>
    </w:p>
    <w:p>
      <w:pPr>
        <w:pStyle w:val="9"/>
      </w:pPr>
      <w:r>
        <w:t>绩效目标：全面推进“提质培优”行动计划承接项目和学管十四五规划，创新载体，开展学生思政教育；完善资助工作体系；以辅导员大赛和日常培训为抓手，提升辅导员工作水平；坚持党建带团建，巩固和创新基层团组织建设；加强学生会建设，打造品牌社团，建设精品活动，提升社会实践及志愿服务水平，培养学生全面发展。</w:t>
      </w:r>
    </w:p>
    <w:p>
      <w:pPr>
        <w:pStyle w:val="9"/>
      </w:pPr>
      <w:r>
        <w:t>绩效指标：校内外专家进行思想道德专题讲座8讲，组织好周一的升旗仪式，开展各类知识竞赛、演讲比赛、主题宣讲会等不少于6次；评选优秀个人和先进集体，开展身边榜样集中宣传；组织实施第二期“青年马克思主义者培养工程”，开展思政进宿舍教育活动；开展国防教育宣传2次，做好大学生征兵工作；培育建设德育特色案例、三全育人典型案例；开展新生军训和入学教育，做好学生资助工作；开展辅导员岗前培训、素质能力提升网络培训1期，组织辅导员素质能力大赛；推进“网上共青团”建设；组织校园文化艺术节和社团展演等活动，创建品牌特色社团5个；开展暑期“三下乡”志愿服务，组织学生干部培训4期。</w:t>
      </w:r>
    </w:p>
    <w:p>
      <w:pPr>
        <w:pStyle w:val="9"/>
      </w:pPr>
      <w:r>
        <w:t>（二）加强组织建设，提升队伍活力。</w:t>
      </w:r>
    </w:p>
    <w:p>
      <w:pPr>
        <w:pStyle w:val="9"/>
      </w:pPr>
      <w:r>
        <w:t>绩效目标：深入实施三年《党建工作规划》，巩固提升基层党建水平；开展思政铸魂、素质提升、头雁领航、校园先锋、标杆培树、党建融合六项行动，为学院高质量发展提供坚强的组织保障。</w:t>
      </w:r>
    </w:p>
    <w:p>
      <w:pPr>
        <w:pStyle w:val="9"/>
      </w:pPr>
      <w:r>
        <w:t>绩效指标：系（院）创建“五星级党总支”和师生党支部创建“六佳党支部”均达到70%以上，教师党支部书记的“双带头人”作用凸显；制度建设得到完善，“三全”育人政治标准和工作体系完备，党建工作责任得到深入落实；对党员干部、党务工作者、入党积极分子培训班次不少于10次，培训人次不少于500人次。</w:t>
      </w:r>
    </w:p>
    <w:p>
      <w:pPr>
        <w:pStyle w:val="9"/>
      </w:pPr>
      <w:r>
        <w:t>（三）重视意识形态和统战工作，坚守思想阵地。</w:t>
      </w:r>
    </w:p>
    <w:p>
      <w:pPr>
        <w:pStyle w:val="9"/>
      </w:pPr>
      <w:r>
        <w:t>绩效目标：定期分析研判意识形态领域形势；落实院级领导班子党员干部同党外人士联谊交友制度；强化各级党组织统战工作主体责任；加强民族宗教摸底排查工作；加强学校重大事件、敏感时期的舆论引导工作；加强宣传思想阵地建设和管理；加强宣传思想文化干部队伍建设。</w:t>
      </w:r>
    </w:p>
    <w:p>
      <w:pPr>
        <w:pStyle w:val="9"/>
      </w:pPr>
      <w:r>
        <w:t>绩效指标：处置意识形态领域重大事件；统战工作完成情况；强化民族宗教工作，抵御和防范校园宗教渗透情况；宣传思想阵地建设情况；网络意识形态管理情况；宣传思想文化领域干部队伍建设情况。</w:t>
      </w:r>
    </w:p>
    <w:p>
      <w:pPr>
        <w:pStyle w:val="9"/>
      </w:pPr>
      <w:r>
        <w:t>（四）坚持引培并举，加强三支队伍建设。</w:t>
      </w:r>
    </w:p>
    <w:p>
      <w:pPr>
        <w:pStyle w:val="9"/>
      </w:pPr>
      <w:r>
        <w:t>绩效目标：围绕学院办学定位和发展目标，坚持引培并举；大力加强管理服务、教学科研、思政教育三支队伍建设；优化人才成长环境，建立规模适当、结构合理、素质优良、充满活力的高素质教职工队伍。</w:t>
      </w:r>
    </w:p>
    <w:p>
      <w:pPr>
        <w:pStyle w:val="9"/>
      </w:pPr>
      <w:r>
        <w:t>绩效指标：完善工作机制，提高管理服务队伍的政治站位和政策水平；选送1-5名管理人员赴名企、名校挂职锻炼；配齐思政教师和专职辅导员岗位；依托双青“336”成蝶计划、“2666”教师培养工程和“13510”青年教师成长计划, 遴选教学团队带头人，组建专业教学团队。</w:t>
      </w:r>
    </w:p>
    <w:p>
      <w:pPr>
        <w:pStyle w:val="9"/>
      </w:pPr>
      <w:r>
        <w:t>（五）完善职称评审和绩效管理，发挥激励导向作用</w:t>
      </w:r>
    </w:p>
    <w:p>
      <w:pPr>
        <w:pStyle w:val="9"/>
      </w:pPr>
      <w:r>
        <w:t>绩效目标：完善校内绩效管理办法和专业技术职称评审管理办法；发挥奖励性绩效和职称评审的激励导向作用，逐步建立完善激励评价体系。</w:t>
      </w:r>
    </w:p>
    <w:p>
      <w:pPr>
        <w:pStyle w:val="9"/>
      </w:pPr>
      <w:r>
        <w:t>绩效指标：完善专业技术职称评审管理办法，科学设置思政课教师专业技术职务（职称）岗位，落实辅导员职务职级双晋升政策；完善校内绩效分配办法，建立学校事业发展与教职工收入稳步增长的协调机制，突出分配的激励和导向作用。</w:t>
      </w:r>
    </w:p>
    <w:p>
      <w:pPr>
        <w:pStyle w:val="9"/>
      </w:pPr>
      <w:r>
        <w:t>（六）以提质培优为主线，推进专业群建设。</w:t>
      </w:r>
    </w:p>
    <w:p>
      <w:pPr>
        <w:pStyle w:val="9"/>
      </w:pPr>
      <w:r>
        <w:t>绩效目标：完善专业群建设方案；推进活页式教材开发工作，建设院级在线开放课程，启动专业群教学资源建设。</w:t>
      </w:r>
    </w:p>
    <w:p>
      <w:pPr>
        <w:pStyle w:val="9"/>
      </w:pPr>
      <w:r>
        <w:t>绩效指标：专业群建设数量（8+2）；活页式开发数量（1-2门/专业群）；线上课程数量（1门/系部）；专业群教学资源库立项并启动建设（2-5个）。</w:t>
      </w:r>
    </w:p>
    <w:p>
      <w:pPr>
        <w:pStyle w:val="9"/>
      </w:pPr>
      <w:r>
        <w:t>（七）提升教师教学能力，加强双师型队伍建设。</w:t>
      </w:r>
    </w:p>
    <w:p>
      <w:pPr>
        <w:pStyle w:val="9"/>
      </w:pPr>
      <w:r>
        <w:t>绩效目标：根据学校发展需求，做好教师教学能力提升工作；做好教师双师型教师培训与认定工作。</w:t>
      </w:r>
    </w:p>
    <w:p>
      <w:pPr>
        <w:pStyle w:val="9"/>
      </w:pPr>
      <w:r>
        <w:t>绩效指标：教学公开课、示范课活动；教学能力比赛；双师型教师队伍建设实施方案；双师型教师认定结果。</w:t>
      </w:r>
    </w:p>
    <w:p>
      <w:pPr>
        <w:pStyle w:val="9"/>
      </w:pPr>
      <w:r>
        <w:t>（八）健全科研体系，促进科技成果转化。</w:t>
      </w:r>
    </w:p>
    <w:p>
      <w:pPr>
        <w:pStyle w:val="9"/>
      </w:pPr>
      <w:r>
        <w:t>绩效目标：坚持创新驱动，产学研融合，打造市级以上品牌科研创新团队；重视成果转化，全面提升社会服务能力和创新能力；积极搭建教研平台，组织开展岗课赛证融通等专项课题研究；强化学生创新创业实践；形成良好的科研创新氛围。</w:t>
      </w:r>
    </w:p>
    <w:p>
      <w:pPr>
        <w:pStyle w:val="9"/>
      </w:pPr>
      <w:r>
        <w:t>绩效指标:科研经费到账总额20万元以上；新增产学研合作研发平台6个以上，新建市级以科研平台2个以上，培育校级科研创新团队10个以上，争取市级以上研发项目10个以上；申报专利10-15项，师生专利成果转化1-2项，发表高水平学术论文50篇以上；获批国家级课题1-2项，省部级科研项目5-10项，市厅级科研项目40-45项；完成企业委托项目2-3项；开展大学生科技活动月活动1次；校刊出刊2期以上；</w:t>
      </w:r>
    </w:p>
    <w:p>
      <w:pPr>
        <w:pStyle w:val="9"/>
      </w:pPr>
      <w:r>
        <w:t>（九）加强学院宣传，进一步扩大社会影响力。</w:t>
      </w:r>
    </w:p>
    <w:p>
      <w:pPr>
        <w:pStyle w:val="9"/>
      </w:pPr>
      <w:r>
        <w:t>绩效目标：积极与高端媒体联系，做好学校重大主题宣传；利用学院官网、微信、抖音、微博等网络媒体平台，推广教育教学亮点，发展成果，提升学校影响力；在短视频和微电影方面出精品，发掘典型事迹；聘请专家学者进行宣传报道指导及宣传员培训；组织学生社团，提高队伍业务水平；充分利用学院内部空间，用空飘、条幅、展板、橱窗栏等形式进行学院各项活动的宣传。</w:t>
      </w:r>
    </w:p>
    <w:p>
      <w:pPr>
        <w:pStyle w:val="9"/>
      </w:pPr>
      <w:r>
        <w:t>绩效指标：校外新闻报道、宣传视频制作；整体宣传方案制定和执行；院级以上媒体宣传稿件数量；空飘、条幅、展板、橱窗制作；专家宣讲场次和效果；宣传工作实际费用。</w:t>
      </w:r>
    </w:p>
    <w:p>
      <w:pPr>
        <w:pStyle w:val="9"/>
      </w:pPr>
      <w:r>
        <w:t>（十）多领域协调联动，推进文明创建工作。</w:t>
      </w:r>
    </w:p>
    <w:p>
      <w:pPr>
        <w:pStyle w:val="9"/>
      </w:pPr>
      <w:r>
        <w:t>绩效目标：谋划校园文化精品项目培育；充分利用党团活动、社会实践等有效载体，开展健康向上、丰富多彩的活动。强化学院形象标识的宣传、管理，提升学院的知名度和美誉度；弘扬师德师风，发挥先进典型示范引领作用；完善设施建设，继续推进省级文明校园的创建工作；按照上级要求安排部署文明城市创建工作。</w:t>
      </w:r>
    </w:p>
    <w:p>
      <w:pPr>
        <w:pStyle w:val="9"/>
      </w:pPr>
      <w:r>
        <w:t>绩效指标：文明校园创建情况；组织开展活动情况；校园文明设施建设情况；弘扬宣传先进典型情况；落实文明城市创建工作。</w:t>
      </w:r>
    </w:p>
    <w:p>
      <w:pPr>
        <w:pStyle w:val="9"/>
      </w:pPr>
      <w:r>
        <w:t>（十一）强化工会组织，夯实群众工作基础。</w:t>
      </w:r>
    </w:p>
    <w:p>
      <w:pPr>
        <w:pStyle w:val="9"/>
      </w:pPr>
      <w:r>
        <w:t>绩效目标：加强工会自身建设，贯彻落实上级工会工作任务及学院工会制度，参与民主管理，维护教职工合法权益；组织教职工劳动竞赛，举办教职工社团，开展教职工文体活动，丰富教职工业余生活。</w:t>
      </w:r>
    </w:p>
    <w:p>
      <w:pPr>
        <w:pStyle w:val="9"/>
      </w:pPr>
      <w:r>
        <w:t>绩效指标：完成上级工会工作任务情况，落实学院工会工作制度；工会预算经费落实情况；开展社团和职工文体活动情况；工会会员满意度情况。</w:t>
      </w:r>
    </w:p>
    <w:p>
      <w:pPr>
        <w:pStyle w:val="9"/>
      </w:pPr>
      <w:r>
        <w:t>（十二）加强招生就业工作，招生规模就业水平上台阶。</w:t>
      </w:r>
    </w:p>
    <w:p>
      <w:pPr>
        <w:pStyle w:val="9"/>
      </w:pPr>
      <w:r>
        <w:t>绩效目标：中职完成招收1200人的招生任务；高职完成2300人的招生任务，新生报到率达到85%以上，争取在全国各省范围内招生，毕业生实际就业率达90%以上；各系积极开展校企合作，每个专业与2家以上知名企业深度合作，校企直接合作共育班占比达到40%以上；拓展就业渠道，加强就业市场建设。</w:t>
      </w:r>
    </w:p>
    <w:p>
      <w:pPr>
        <w:pStyle w:val="9"/>
      </w:pPr>
      <w:r>
        <w:t>绩效指标：年度招生人数；新生报到率；毕业生就业率；师生满意度；企业满意度；工作进度完成情况；校企合作数量，深度开展的校企合作项目。</w:t>
      </w:r>
    </w:p>
    <w:p>
      <w:pPr>
        <w:pStyle w:val="9"/>
      </w:pPr>
      <w:r>
        <w:t>（十三）提升培训质量规模，服务地方经济发展。</w:t>
      </w:r>
    </w:p>
    <w:p>
      <w:pPr>
        <w:pStyle w:val="9"/>
      </w:pPr>
      <w:r>
        <w:t>绩效目标：完成年度培训8000人次。增强服务区域经济发展的能力和水平。</w:t>
      </w:r>
    </w:p>
    <w:p>
      <w:pPr>
        <w:pStyle w:val="9"/>
      </w:pPr>
      <w:r>
        <w:t>绩效指标：社会服务与培训规模；资金有效使用率；社会服务与培训费用；实际培训比率；资金到位率；工作进度完成情况；收益对象满意度。</w:t>
      </w:r>
    </w:p>
    <w:p>
      <w:pPr>
        <w:pStyle w:val="9"/>
      </w:pPr>
      <w:r>
        <w:t>（十四）完善基础设施，提升服务保障能力。</w:t>
      </w:r>
    </w:p>
    <w:p>
      <w:pPr>
        <w:pStyle w:val="9"/>
      </w:pPr>
      <w:r>
        <w:t>绩效目标：坚持“安全第一、预防为主”的方针，完善“双控”机制建设；公物维修制度化、精细化、科学化水平逐渐提高，基础公共设施进一步完善；健全资产管理体制，完成年度基础采购及各项招投标工作；加强校内商业网点的监督管理，完善监督、检查和责任追究机制；严格执行疫情防控常态化规定，完善新冠肺炎等传染病防控机制和应急处理机制。</w:t>
      </w:r>
    </w:p>
    <w:p>
      <w:pPr>
        <w:pStyle w:val="9"/>
      </w:pPr>
      <w:r>
        <w:t>绩效指标：安全保卫、环境卫生实行“网格化”管理，明确责任人；安全保卫、后勤服务24小时值班，反馈问题处理率达100%，满意率90%以上；提高后勤报修平台的利用率，保障所有教学项目及活动正常开展；完善固定资产管理制度，加快实现信息化管理体系；落实日巡查、周检查、月考评制度，规范后勤服务网点建设；落实新冠肺炎等传染病疫情防控主体责任，疫苗接种、核酸检测不漏一人，杜绝传染病在校园扩散。</w:t>
      </w:r>
    </w:p>
    <w:p>
      <w:pPr>
        <w:pStyle w:val="9"/>
      </w:pPr>
      <w:r>
        <w:t>（十五）提高中专部实力，推动中高职一体发展。</w:t>
      </w:r>
    </w:p>
    <w:p>
      <w:pPr>
        <w:pStyle w:val="9"/>
      </w:pPr>
      <w:r>
        <w:t>1.师资队伍和专业建设</w:t>
      </w:r>
    </w:p>
    <w:p>
      <w:pPr>
        <w:pStyle w:val="9"/>
      </w:pPr>
      <w:r>
        <w:t>绩效目标：提质培优、增值赋能，推进“三教”改革，深化内涵建设。修订完善专业人才培养方案，开齐开足公共基础课程，思政课程、课程思政同向同行，提炼典型案例，辐射带动；推进一体化课程改革，校企双元合作开发活页式、工作手册式教材，建设校级精品在线开放课程和专业教学资源库；开展教师提质工程，培育省级教师教学创新团队，打造名师、专业带头人、骨干教师队伍，提升专业课教师“双师型”比例；产教融合，提升教学科研水平，师生大赛再创佳绩；推进1+X证书试点，“学分银行”实现学习成果认定、积累和转换；对标国家专业教学标准，完善校内外实训基地建设，打造省级优质专业，提高教育教学质量。</w:t>
      </w:r>
    </w:p>
    <w:p>
      <w:pPr>
        <w:pStyle w:val="9"/>
      </w:pPr>
      <w:r>
        <w:t>绩效指标：校级在线开放课程和专业教学资源库数量；开发教材数量；教科研成果数量；市级以上大赛获奖数量；1+X证书过关率；实训室建设数量；实训室使用率；资金到位率。</w:t>
      </w:r>
    </w:p>
    <w:p>
      <w:pPr>
        <w:pStyle w:val="9"/>
      </w:pPr>
      <w:r>
        <w:t>2.教学诊改工作</w:t>
      </w:r>
    </w:p>
    <w:p>
      <w:pPr>
        <w:pStyle w:val="9"/>
      </w:pPr>
      <w:r>
        <w:t>绩效目标：持续推进教学诊改，落实专业、课程、教师层面全过程管理，开展教学质量评价改革，完善诊改指标体系，严格教学常规管理，规范教学运行。</w:t>
      </w:r>
    </w:p>
    <w:p>
      <w:pPr>
        <w:pStyle w:val="9"/>
      </w:pPr>
      <w:r>
        <w:t>绩效指标：教学督导评价效果；公开示范课数量；师生满意度。</w:t>
      </w:r>
    </w:p>
    <w:p>
      <w:pPr>
        <w:pStyle w:val="9"/>
      </w:pPr>
      <w:r>
        <w:t>3.学生管理工作</w:t>
      </w:r>
    </w:p>
    <w:p>
      <w:pPr>
        <w:pStyle w:val="9"/>
      </w:pPr>
      <w:r>
        <w:t>绩效目标：建设三全育人典型学校；全面提升德育评价科学性；推进名班主任工作室建设进度，增强德育阵地教育作用；打造“三位一体”思政骨干队伍；提升学生思想政治素质，加强团组织建设，落实常规管理“十个一”；完善心理咨询室建设，强化推进学生心理健康教育；推进信息化平台建设，实现“三全育人”信息化、可视化。</w:t>
      </w:r>
    </w:p>
    <w:p>
      <w:pPr>
        <w:pStyle w:val="9"/>
      </w:pPr>
      <w:r>
        <w:t>绩效指标：劳动教育实践基地、德育典型案例；班主任、德育骨干教师、思政教师各级各类培训、交流活动；系列教育活动；学生常规管理、学生干部培养情况；补充心理咨询设备，提高学生心理健康教育实效性；搭建信息化平台，提高管理、服务学生信息化水平。</w:t>
      </w:r>
    </w:p>
    <w:p>
      <w:pPr>
        <w:pStyle w:val="9"/>
      </w:pPr>
    </w:p>
    <w:p>
      <w:pPr>
        <w:pStyle w:val="10"/>
      </w:pPr>
      <w:r>
        <w:t>三、工作保障措施</w:t>
      </w:r>
    </w:p>
    <w:p>
      <w:pPr>
        <w:pStyle w:val="10"/>
      </w:pPr>
      <w:r>
        <w:t>（一）完善制度体系，严格执行落实。</w:t>
      </w:r>
    </w:p>
    <w:p>
      <w:pPr>
        <w:pStyle w:val="10"/>
      </w:pPr>
      <w:r>
        <w:t>在已经制定实行的《财务审批制度》《“三公”经费管理办法》《预算管理办法》等七项财务制度的基础上，进一步制定完善资金管理办法、工作保障制度等。继续对内控制度进行修改和完善，增强制度的权威性、适应性和可操作性。重点建立事前审核、事中监控、事后评价相结合的内部监督管理机制和重大事项集体决策机制，特别重大事项报送主管部门审批。加强内部监管，严格按照标准执行上级和本院各项制度规定。</w:t>
      </w:r>
    </w:p>
    <w:p>
      <w:pPr>
        <w:pStyle w:val="10"/>
      </w:pPr>
      <w:r>
        <w:t>（二）优化支出管理，确保支出进度。</w:t>
      </w:r>
    </w:p>
    <w:p>
      <w:pPr>
        <w:pStyle w:val="10"/>
      </w:pPr>
      <w:r>
        <w:t>对政府采购项目严格管理，快速推进各项审批程序。优化支出结构、编细编实预算、加快履行政府采购手续、尽快启动项目、及时支付资金，多措并举确保完成支出进度。按制度要求开展绩效运行监控。</w:t>
      </w:r>
    </w:p>
    <w:p>
      <w:pPr>
        <w:pStyle w:val="10"/>
      </w:pPr>
      <w:r>
        <w:t>（三）加强内外监控，提高管理水平。</w:t>
      </w:r>
    </w:p>
    <w:p>
      <w:pPr>
        <w:pStyle w:val="10"/>
      </w:pPr>
      <w:r>
        <w:t>1.加强绩效运行监控。绩效目标的运行监控列为督考办的职责，采取监督、自查的形式，定期对绩效目标进行有效监控，发现问题及时对进行分析，拟定整改措施，确保绩效目标如期保质实现。</w:t>
      </w:r>
    </w:p>
    <w:p>
      <w:pPr>
        <w:pStyle w:val="10"/>
      </w:pPr>
      <w:r>
        <w:t>2.加强内部监督。加强内部监督制度建设，对绩效运行情况、列入学校“三重一大”的事项、资产处置及其他重要经济业务事项的决策和执行进行督导；对会计资料进行内部审计，并配合做好审计、财政监督等外部监督工作，确保财政资金安全有效。</w:t>
      </w:r>
    </w:p>
    <w:p>
      <w:pPr>
        <w:pStyle w:val="10"/>
      </w:pPr>
      <w:r>
        <w:t>3.做好绩效自评。组织有关部门对上年度预算绩效进行自评和重点评价工作，对评价中发现的问题及时整改，调整优化支出结构，提高财政资金使用效益。</w:t>
      </w:r>
    </w:p>
    <w:p>
      <w:pPr>
        <w:pStyle w:val="10"/>
      </w:pPr>
      <w:r>
        <w:t>4.规范财务资产管理。对固定资产实行精细化管理，细化管理职责，明确管理责任，落实管理措施。严格审批程序，加强固定资产登记、使用和报废处置管理，做到支出合理、物尽其用。</w:t>
      </w:r>
    </w:p>
    <w:p>
      <w:pPr>
        <w:pStyle w:val="10"/>
      </w:pPr>
      <w:r>
        <w:t>（四）加强宣传教育，强化绩效意识。</w:t>
      </w:r>
    </w:p>
    <w:p>
      <w:pPr>
        <w:pStyle w:val="10"/>
      </w:pPr>
      <w:r>
        <w:t>教育引导各部门、项目责任人等对预算绩效管理高度重视，提高相关人员预算绩效管理能力，进一步优化资金配置和使用效益。</w:t>
      </w:r>
    </w:p>
    <w:p>
      <w:pPr>
        <w:pStyle w:val="10"/>
      </w:pP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1.2022年度绩效工资提高倍数项目绩效目标表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13080022P002F6D10002D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2022年度绩效工资提高倍数项目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1462.89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1462.89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调动教职工积极性、主动性和创造性，提高队伍活力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  调动教职工积极性、主动性和创造性，提高队伍活力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在编在岗人员出勤率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承德应用技术职业学院《绩效工资（津贴补贴）分配办法》（试行）、教职工考勤办法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实际发放数额占应发放数额的百分率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发放核定数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按月足额拨付资金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≤8每月8日前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发放期限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实际支出数/预算下达数*100%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国务院关于印发国家职业教育改革</w:t>
            </w:r>
          </w:p>
          <w:p>
            <w:pPr>
              <w:pStyle w:val="13"/>
            </w:pPr>
            <w:r>
              <w:t>实施方案的通知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按“三保”政策，工资逐月及时足额发放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工资逐月及时足额发放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承德应用技术职业学院《绩效工资（津贴补贴）分配办法》（试行）、教职工考勤办法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工作人员尽职尽责率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工作人员尽职尽责率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机关工作人员足额领用工资，保障正常工作和生活需要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校园绿化率（%）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校园绿化率（%）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校园绿化指标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受调查满意教师占样本总量的百分率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单位工作标准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2.2022年度运转经费  项目绩效目标表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13080022P00DD2T10003T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2022年度运转经费  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2975.22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2975.22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保证学校正常运转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 通过规范教学管理，优化教学投入，安全有序开展常规教育教学活动，圆满完成教学计划，提升教学质量。</w:t>
            </w:r>
          </w:p>
          <w:p>
            <w:pPr>
              <w:pStyle w:val="13"/>
            </w:pPr>
            <w:r>
              <w:t>2.目标内容2 教学基础设施进一步改善及维护，保证正常教学，美化校园环境；</w:t>
            </w:r>
          </w:p>
          <w:p>
            <w:pPr>
              <w:pStyle w:val="13"/>
            </w:pPr>
            <w:r>
              <w:t>3.目标内容3 完成年度内的各项工作计划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≥300人次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各级部门培训计划通知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行政事业单位法定工作时间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设施设备完好率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完好的设备设施占总设备设施的百分率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后勤工作计划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核算准确率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符合财务管理制度和内控要求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按时间进度要求支付使用资金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准时支付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支出进度要求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实际支出数/预算下达数*100%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国务院关于印发国家职业教育改革实施方案的通知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良好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维护机关正常办公秩序，保障公职人员履职需要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响应节能减排号召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满意学生占总受调查学生的百分率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满意企业占总受调查企业的百分率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3.2022年度中职生均公用经费项目绩效目标表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13080022P002B6410002B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2022年度中职生均公用经费项目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教学基础设施正常运转，保证正常教学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1.目标内容1教学基础设施正常运转，保证正常教学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行政事业单位法定工作时间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≥300人次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各级部门培训计划通知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核算准确率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符合财务管理制度和内控要求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设施设备完好率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完好的设备设施占总设备设施的百分率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后勤工作计划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付款及时率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按时间进度要求支付使用资金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按时间要求完成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支出进度要求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实际支出数/预算下达数*100%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国务院关于印发国家职业教育改革实施方案的通知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良好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维护机关正常办公秩序，保障公职人员履职需要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响应节能减排号召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学生满意百分率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教师满意百分率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4.承德应用技术职业学院（中职）年初预算-中职生均公用经费绩效目标表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13080021DH0YKSOBHAVRY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承德应用技术职业学院（中职）年初预算-中职生均公用经费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保证学校正常运行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1.教学基础设施正常运转，保证正常教学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行政事业单位法定工作时间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≥300人次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各级部门培训计划通知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核算准确率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符合财务管理制度和内控要求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设施设备完好率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完好的设备设施占总设备设施的百分率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后勤工作计划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付款及时率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按时间进度要求支付使用资金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按时间要求完成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支出进度要求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实际支出数/预算下达数*100%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国务院关于印发国家职业教育改革实施方案的通知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良好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维护机关正常办公秩序，保障公职人员履职需要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响应节能减排号召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学生满意百分率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教师满意百分率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5.2021年中央现代职业教育高职经费绩效目标表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130800217G2GTV0GZXBIT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2021年中央现代职业教育高职经费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图书馆购置专业性图书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1.图书馆购置专业性图书，丰富图书馆藏资源</w:t>
            </w:r>
          </w:p>
          <w:p>
            <w:pPr>
              <w:pStyle w:val="13"/>
            </w:pPr>
            <w:r>
              <w:t>2.补充教学资源，优化图书馆藏结构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图书册数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根据学校专业设置及现有馆藏合理分配各类图书购置数量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≥50000册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图书均价及预期折扣核算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验收通过率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新增图书均为国家正式出版物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国务院《出版管理条例》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12月底完成采购、加工及上架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项目进度计划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预算资金142万元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控制成本完成数量指标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142万元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市场调研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满足教学及科研需求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所购置图书无破损丢失情况下，将永久服务教学科研和全体师生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文字描述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图书使用周期及使用年限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保障教学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扩大图书资源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文字描述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学校属二类公益事业单位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师生素养提升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提升师生人文素养、提高专业水平，引导学校和教师自我诊断和改进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文字描述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全日制办学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环保化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绿色印刷，图书环保无污染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文字描述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事业单位性质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读者满意度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读者阅读率提高，满意度提升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6.2022年度偿还国开行债务项目绩效目标表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13080022P00945310001N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2022年度偿还国开行债务项目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1099.36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1099.36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按时偿还国家开发银行本金，维护学院信誉。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  按时偿还国家开发银行本金，维护学院信誉。</w:t>
            </w:r>
          </w:p>
          <w:p>
            <w:pPr>
              <w:pStyle w:val="13"/>
            </w:pPr>
            <w:r>
              <w:t>2.目标内容2  按季度及时支付国家开发银行贷款利息，保证信用良好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偿还本金金额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偿还本金金额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本金偿还率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本年度偿还金额/本年度应偿还金额*100%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还款合规性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反应偿债手续是否齐全，偿债流程是否符合规定。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支付利息及时率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反应按时偿还债务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准时支付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偿还本金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反应是否超额还款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保障举债工作正常进行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通过按时合规还债，保证学院正常运行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避免产生经济纠纷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按时还债，避免出现纠纷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有效避免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提升学院公信力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通过按时合规还债，长期提升学院公信力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7.2022年度偿还基金本金项目绩效目标表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13080022P009455100012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2022年度偿还基金本金项目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  保持学院可持续发展能力，学院的基础设施设备满足学院教学实训的需求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  保持学院可持续发展能力，学院的基础设施设备满足学院教学实训的需求</w:t>
            </w:r>
          </w:p>
          <w:p>
            <w:pPr>
              <w:pStyle w:val="13"/>
            </w:pPr>
            <w:r>
              <w:t>2.目标内容2  按协议及时支付基金利息，保证学院信用良好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偿还基金退出款金额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偿还基金退出款金额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6200万元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本金偿还率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本年度偿还金额/本年度应偿还金额*100%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还款合规性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反应偿债手续是否齐全，偿债流程是否符合规定。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反应按时偿还债务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准时支付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偿还本金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反应是否超额还款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≤6200万元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保障举债工作正常进行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通过按时合规还债，保证学院正常运行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避免产生经济纠纷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按时还债，避免出现纠纷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有效避免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提升学院公信力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通过按时合规还债，长期提升学院公信力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8.2022年度偿还基金费用项目绩效目标表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13080022P00945410001C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2022年度偿还基金费用项目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2034.36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2034.36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保持学院可持续发展能力，学院的基础设施设备满足学院教学实训的需求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  保持学院可持续发展能力，学院的基础设施设备满足学院教学实训的需求</w:t>
            </w:r>
          </w:p>
          <w:p>
            <w:pPr>
              <w:pStyle w:val="13"/>
            </w:pPr>
            <w:r>
              <w:t>2.目标内容2  按协议及时支付基金利息，保证学院信用良好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偿还基金退出款费用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偿还基金退出款费用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2034.36万元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本金偿还率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本年度偿还金额/本年度应偿还金额*100%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还款合规性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反应偿债手续是否齐全，偿债流程是否符合规定。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反应按时偿还债利息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准时支付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偿还利息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偿还利息金额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≤2034.36万元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保障举债工作正常进行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通过按时合规还债，保证学院正常运行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避免产生经济纠纷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按时还债，避免出现纠纷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有效避免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提升学院公信力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通过按时合规还债，长期提升学院公信力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3F62"/>
    <w:rsid w:val="082D171A"/>
    <w:rsid w:val="4AE03B3A"/>
    <w:rsid w:val="51663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2022-02-14T10:30:02Z</dcterms:created>
  <dcterms:modified xsi:type="dcterms:W3CDTF">2022-02-14T02:30:02Z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2022-02-14T10:30:02Z</dcterms:created>
  <dcterms:modified xsi:type="dcterms:W3CDTF">2022-02-14T02:30:02Z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2022-02-14T10:30:02Z</dcterms:created>
  <dcterms:modified xsi:type="dcterms:W3CDTF">2022-02-14T02:30:02Z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2022-02-14T10:30:00Z</dcterms:created>
  <dcterms:modified xsi:type="dcterms:W3CDTF">2022-02-14T02:30:00Z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2022-02-14T10:30:01Z</dcterms:created>
  <dcterms:modified xsi:type="dcterms:W3CDTF">2022-02-14T02:30:01Z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2022-02-14T10:30:00Z</dcterms:created>
  <dcterms:modified xsi:type="dcterms:W3CDTF">2022-02-14T02:30:00Z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2022-02-14T10:30:01Z</dcterms:created>
  <dcterms:modified xsi:type="dcterms:W3CDTF">2022-02-14T02:30:01Z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2022-02-14T10:30:00Z</dcterms:created>
  <dcterms:modified xsi:type="dcterms:W3CDTF">2022-02-14T02:30:00Z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2022-02-14T10:30:01Z</dcterms:created>
  <dcterms:modified xsi:type="dcterms:W3CDTF">2022-02-14T02:30:01Z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2022-02-14T10:30:01Z</dcterms:created>
  <dcterms:modified xsi:type="dcterms:W3CDTF">2022-02-14T02:30:01Z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fcd79a15-23d0-46cc-8739-5cedb20e52ca}">
  <ds:schemaRefs/>
</ds:datastoreItem>
</file>

<file path=customXml/itemProps11.xml><?xml version="1.0" encoding="utf-8"?>
<ds:datastoreItem xmlns:ds="http://schemas.openxmlformats.org/officeDocument/2006/customXml" ds:itemID="{ba35481c-be21-41c4-b6b6-3a90542f57be}">
  <ds:schemaRefs/>
</ds:datastoreItem>
</file>

<file path=customXml/itemProps12.xml><?xml version="1.0" encoding="utf-8"?>
<ds:datastoreItem xmlns:ds="http://schemas.openxmlformats.org/officeDocument/2006/customXml" ds:itemID="{abb678c7-ffdc-4166-bcd8-ee262d0eb817}">
  <ds:schemaRefs/>
</ds:datastoreItem>
</file>

<file path=customXml/itemProps13.xml><?xml version="1.0" encoding="utf-8"?>
<ds:datastoreItem xmlns:ds="http://schemas.openxmlformats.org/officeDocument/2006/customXml" ds:itemID="{5e6a253e-601e-4499-a806-12eaa4996214}">
  <ds:schemaRefs/>
</ds:datastoreItem>
</file>

<file path=customXml/itemProps14.xml><?xml version="1.0" encoding="utf-8"?>
<ds:datastoreItem xmlns:ds="http://schemas.openxmlformats.org/officeDocument/2006/customXml" ds:itemID="{42c54d4b-df87-4d0a-9e5d-b9aeadc1aff9}">
  <ds:schemaRefs/>
</ds:datastoreItem>
</file>

<file path=customXml/itemProps15.xml><?xml version="1.0" encoding="utf-8"?>
<ds:datastoreItem xmlns:ds="http://schemas.openxmlformats.org/officeDocument/2006/customXml" ds:itemID="{578a678f-b2f9-4651-bba0-bd164c26a957}">
  <ds:schemaRefs/>
</ds:datastoreItem>
</file>

<file path=customXml/itemProps16.xml><?xml version="1.0" encoding="utf-8"?>
<ds:datastoreItem xmlns:ds="http://schemas.openxmlformats.org/officeDocument/2006/customXml" ds:itemID="{081ee260-7cfc-42f3-b505-797c6f1abf15}">
  <ds:schemaRefs/>
</ds:datastoreItem>
</file>

<file path=customXml/itemProps17.xml><?xml version="1.0" encoding="utf-8"?>
<ds:datastoreItem xmlns:ds="http://schemas.openxmlformats.org/officeDocument/2006/customXml" ds:itemID="{16f6b0ab-a7ef-40b1-81dc-0e479e6513fa}">
  <ds:schemaRefs/>
</ds:datastoreItem>
</file>

<file path=customXml/itemProps18.xml><?xml version="1.0" encoding="utf-8"?>
<ds:datastoreItem xmlns:ds="http://schemas.openxmlformats.org/officeDocument/2006/customXml" ds:itemID="{f073b328-134c-43cb-9a9f-277d4bb89f35}">
  <ds:schemaRefs/>
</ds:datastoreItem>
</file>

<file path=customXml/itemProps19.xml><?xml version="1.0" encoding="utf-8"?>
<ds:datastoreItem xmlns:ds="http://schemas.openxmlformats.org/officeDocument/2006/customXml" ds:itemID="{0b379f9e-c0be-44ad-a513-f92699c44904}">
  <ds:schemaRefs/>
</ds:datastoreItem>
</file>

<file path=customXml/itemProps2.xml><?xml version="1.0" encoding="utf-8"?>
<ds:datastoreItem xmlns:ds="http://schemas.openxmlformats.org/officeDocument/2006/customXml" ds:itemID="{d67a0809-d058-4d31-99e4-c8f1dd997328}">
  <ds:schemaRefs/>
</ds:datastoreItem>
</file>

<file path=customXml/itemProps20.xml><?xml version="1.0" encoding="utf-8"?>
<ds:datastoreItem xmlns:ds="http://schemas.openxmlformats.org/officeDocument/2006/customXml" ds:itemID="{16a65a87-6165-4539-867f-0da34ad5b882}">
  <ds:schemaRefs/>
</ds:datastoreItem>
</file>

<file path=customXml/itemProps21.xml><?xml version="1.0" encoding="utf-8"?>
<ds:datastoreItem xmlns:ds="http://schemas.openxmlformats.org/officeDocument/2006/customXml" ds:itemID="{0de8ba84-6005-460d-9e63-257d4a57f447}">
  <ds:schemaRefs/>
</ds:datastoreItem>
</file>

<file path=customXml/itemProps3.xml><?xml version="1.0" encoding="utf-8"?>
<ds:datastoreItem xmlns:ds="http://schemas.openxmlformats.org/officeDocument/2006/customXml" ds:itemID="{45314e76-581d-4fab-8c37-9e5dffced149}">
  <ds:schemaRefs/>
</ds:datastoreItem>
</file>

<file path=customXml/itemProps4.xml><?xml version="1.0" encoding="utf-8"?>
<ds:datastoreItem xmlns:ds="http://schemas.openxmlformats.org/officeDocument/2006/customXml" ds:itemID="{5ef81482-1dce-4945-a415-4b2ed7ab17be}">
  <ds:schemaRefs/>
</ds:datastoreItem>
</file>

<file path=customXml/itemProps5.xml><?xml version="1.0" encoding="utf-8"?>
<ds:datastoreItem xmlns:ds="http://schemas.openxmlformats.org/officeDocument/2006/customXml" ds:itemID="{f855bb78-7cbc-4408-ad8d-b95e953d03b3}">
  <ds:schemaRefs/>
</ds:datastoreItem>
</file>

<file path=customXml/itemProps6.xml><?xml version="1.0" encoding="utf-8"?>
<ds:datastoreItem xmlns:ds="http://schemas.openxmlformats.org/officeDocument/2006/customXml" ds:itemID="{7f5ed786-8cba-45db-bcc4-c0b49b915ceb}">
  <ds:schemaRefs/>
</ds:datastoreItem>
</file>

<file path=customXml/itemProps7.xml><?xml version="1.0" encoding="utf-8"?>
<ds:datastoreItem xmlns:ds="http://schemas.openxmlformats.org/officeDocument/2006/customXml" ds:itemID="{ae334748-24f5-4440-9539-cc911634ff3c}">
  <ds:schemaRefs/>
</ds:datastoreItem>
</file>

<file path=customXml/itemProps8.xml><?xml version="1.0" encoding="utf-8"?>
<ds:datastoreItem xmlns:ds="http://schemas.openxmlformats.org/officeDocument/2006/customXml" ds:itemID="{6b51cdd6-d66c-487a-bf5a-c2971ea88ed0}">
  <ds:schemaRefs/>
</ds:datastoreItem>
</file>

<file path=customXml/itemProps9.xml><?xml version="1.0" encoding="utf-8"?>
<ds:datastoreItem xmlns:ds="http://schemas.openxmlformats.org/officeDocument/2006/customXml" ds:itemID="{826d8cc5-bcf0-4773-950e-38f305064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2022-02-14T10:30:00Z</dcterms:created>
  <dc:creator>Administrator</dc:creator>
  <cp:lastModifiedBy>Zoe</cp:lastModifiedBy>
  <dcterms:modified xsi:type="dcterms:W3CDTF">2022-03-03T00:47:50Z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F8752E3F975845338973663CDC0B4FB7</vt:lpwstr>
  </property>
</Properties>
</file>