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B835E">
      <w:pPr>
        <w:pStyle w:val="2"/>
        <w:keepNext w:val="0"/>
        <w:keepLines w:val="0"/>
        <w:pageBreakBefore w:val="0"/>
        <w:widowControl w:val="0"/>
        <w:tabs>
          <w:tab w:val="left" w:pos="7334"/>
        </w:tabs>
        <w:kinsoku/>
        <w:wordWrap/>
        <w:overflowPunct/>
        <w:topLinePunct w:val="0"/>
        <w:autoSpaceDE/>
        <w:autoSpaceDN/>
        <w:bidi w:val="0"/>
        <w:adjustRightInd/>
        <w:snapToGrid/>
        <w:spacing w:line="560" w:lineRule="exact"/>
        <w:ind w:firstLine="0" w:firstLineChars="0"/>
        <w:textAlignment w:val="auto"/>
        <w:rPr>
          <w:rFonts w:hint="eastAsia"/>
          <w:color w:val="auto"/>
          <w:lang w:eastAsia="zh-CN"/>
        </w:rPr>
      </w:pPr>
      <w:bookmarkStart w:id="3" w:name="_GoBack"/>
      <w:bookmarkStart w:id="0" w:name="_Toc24612825"/>
      <w:bookmarkStart w:id="1" w:name="_Toc24612867"/>
      <w:bookmarkStart w:id="2" w:name="_Toc24620795"/>
    </w:p>
    <w:p w14:paraId="09030029">
      <w:pPr>
        <w:pStyle w:val="2"/>
        <w:keepNext w:val="0"/>
        <w:keepLines w:val="0"/>
        <w:pageBreakBefore w:val="0"/>
        <w:widowControl w:val="0"/>
        <w:tabs>
          <w:tab w:val="left" w:pos="7334"/>
        </w:tabs>
        <w:kinsoku/>
        <w:wordWrap/>
        <w:overflowPunct/>
        <w:topLinePunct w:val="0"/>
        <w:autoSpaceDE/>
        <w:autoSpaceDN/>
        <w:bidi w:val="0"/>
        <w:adjustRightInd/>
        <w:snapToGrid/>
        <w:spacing w:line="560" w:lineRule="exact"/>
        <w:ind w:left="0" w:leftChars="0" w:firstLine="0" w:firstLineChars="0"/>
        <w:textAlignment w:val="auto"/>
        <w:rPr>
          <w:rFonts w:hint="eastAsia"/>
          <w:color w:val="auto"/>
          <w:lang w:eastAsia="zh-CN"/>
        </w:rPr>
      </w:pPr>
    </w:p>
    <w:p w14:paraId="79C86195">
      <w:pPr>
        <w:keepNext w:val="0"/>
        <w:keepLines w:val="0"/>
        <w:pageBreakBefore w:val="0"/>
        <w:widowControl w:val="0"/>
        <w:kinsoku/>
        <w:overflowPunct/>
        <w:autoSpaceDE/>
        <w:autoSpaceDN/>
        <w:bidi w:val="0"/>
        <w:spacing w:line="560" w:lineRule="exact"/>
        <w:textAlignment w:val="auto"/>
        <w:rPr>
          <w:rFonts w:hint="eastAsia"/>
          <w:color w:val="auto"/>
          <w:lang w:eastAsia="zh-CN"/>
        </w:rPr>
      </w:pPr>
    </w:p>
    <w:p w14:paraId="68ACFFA7">
      <w:pPr>
        <w:pStyle w:val="2"/>
        <w:keepNext w:val="0"/>
        <w:keepLines w:val="0"/>
        <w:pageBreakBefore w:val="0"/>
        <w:widowControl w:val="0"/>
        <w:tabs>
          <w:tab w:val="left" w:pos="7334"/>
        </w:tabs>
        <w:kinsoku/>
        <w:wordWrap/>
        <w:overflowPunct/>
        <w:topLinePunct w:val="0"/>
        <w:autoSpaceDE/>
        <w:autoSpaceDN/>
        <w:bidi w:val="0"/>
        <w:adjustRightInd/>
        <w:snapToGrid/>
        <w:spacing w:line="560" w:lineRule="exact"/>
        <w:ind w:firstLine="0" w:firstLineChars="0"/>
        <w:textAlignment w:val="auto"/>
        <w:rPr>
          <w:rFonts w:hint="eastAsia"/>
          <w:color w:val="auto"/>
          <w:lang w:eastAsia="zh-CN"/>
        </w:rPr>
      </w:pPr>
      <w:r>
        <w:rPr>
          <w:rFonts w:hint="eastAsia"/>
          <w:color w:val="auto"/>
          <w:lang w:eastAsia="zh-CN"/>
        </w:rPr>
        <w:tab/>
      </w:r>
    </w:p>
    <w:p w14:paraId="011D31E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Cs/>
          <w:color w:val="auto"/>
          <w:kern w:val="0"/>
          <w:sz w:val="32"/>
          <w:szCs w:val="32"/>
        </w:rPr>
      </w:pPr>
    </w:p>
    <w:p w14:paraId="7D03E1D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办通字〔202</w:t>
      </w:r>
      <w:r>
        <w:rPr>
          <w:rFonts w:hint="eastAsia" w:ascii="仿宋_GB2312" w:hAnsi="仿宋_GB2312" w:eastAsia="仿宋_GB2312" w:cs="仿宋_GB2312"/>
          <w:bCs/>
          <w:color w:val="auto"/>
          <w:kern w:val="0"/>
          <w:sz w:val="32"/>
          <w:szCs w:val="32"/>
          <w:lang w:val="en-US" w:eastAsia="zh-CN"/>
        </w:rPr>
        <w:t>4</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12</w:t>
      </w:r>
      <w:r>
        <w:rPr>
          <w:rFonts w:hint="eastAsia" w:ascii="仿宋_GB2312" w:hAnsi="仿宋_GB2312" w:eastAsia="仿宋_GB2312" w:cs="仿宋_GB2312"/>
          <w:bCs/>
          <w:color w:val="auto"/>
          <w:kern w:val="0"/>
          <w:sz w:val="32"/>
          <w:szCs w:val="32"/>
        </w:rPr>
        <w:t>号</w:t>
      </w:r>
    </w:p>
    <w:p w14:paraId="10D35BDD">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color w:val="auto"/>
          <w:sz w:val="32"/>
          <w:szCs w:val="32"/>
        </w:rPr>
      </w:pPr>
    </w:p>
    <w:p w14:paraId="03F1E830">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kern w:val="2"/>
          <w:sz w:val="44"/>
          <w:szCs w:val="44"/>
          <w:lang w:val="en-US" w:eastAsia="zh-CN"/>
        </w:rPr>
      </w:pPr>
      <w:r>
        <w:rPr>
          <w:rFonts w:hint="eastAsia" w:ascii="方正小标宋简体" w:hAnsi="方正小标宋简体" w:eastAsia="方正小标宋简体" w:cs="方正小标宋简体"/>
          <w:b w:val="0"/>
          <w:bCs w:val="0"/>
          <w:snapToGrid w:val="0"/>
          <w:color w:val="auto"/>
          <w:kern w:val="2"/>
          <w:sz w:val="44"/>
          <w:szCs w:val="44"/>
          <w:lang w:eastAsia="zh-CN"/>
        </w:rPr>
        <w:t>承德应用技术职业学院</w:t>
      </w:r>
      <w:r>
        <w:rPr>
          <w:rFonts w:hint="eastAsia" w:ascii="方正小标宋简体" w:hAnsi="方正小标宋简体" w:eastAsia="方正小标宋简体" w:cs="方正小标宋简体"/>
          <w:b w:val="0"/>
          <w:bCs w:val="0"/>
          <w:snapToGrid w:val="0"/>
          <w:color w:val="auto"/>
          <w:kern w:val="2"/>
          <w:sz w:val="44"/>
          <w:szCs w:val="44"/>
          <w:lang w:val="en-US" w:eastAsia="zh-CN"/>
        </w:rPr>
        <w:t>党政办公室</w:t>
      </w:r>
    </w:p>
    <w:p w14:paraId="6E3AB0C2">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default" w:ascii="方正小标宋简体" w:hAnsi="方正小标宋简体" w:eastAsia="方正小标宋简体" w:cs="方正小标宋简体"/>
          <w:b w:val="0"/>
          <w:bCs w:val="0"/>
          <w:snapToGrid w:val="0"/>
          <w:color w:val="auto"/>
          <w:kern w:val="2"/>
          <w:sz w:val="44"/>
          <w:szCs w:val="44"/>
          <w:lang w:val="en-US" w:eastAsia="zh-CN"/>
        </w:rPr>
      </w:pPr>
      <w:r>
        <w:rPr>
          <w:rFonts w:hint="eastAsia" w:ascii="方正小标宋简体" w:hAnsi="方正小标宋简体" w:eastAsia="方正小标宋简体" w:cs="方正小标宋简体"/>
          <w:b w:val="0"/>
          <w:bCs w:val="0"/>
          <w:snapToGrid w:val="0"/>
          <w:color w:val="auto"/>
          <w:kern w:val="2"/>
          <w:sz w:val="44"/>
          <w:szCs w:val="44"/>
          <w:lang w:eastAsia="zh-CN"/>
        </w:rPr>
        <w:t>关于</w:t>
      </w:r>
      <w:r>
        <w:rPr>
          <w:rFonts w:hint="eastAsia" w:ascii="方正小标宋简体" w:hAnsi="方正小标宋简体" w:eastAsia="方正小标宋简体" w:cs="方正小标宋简体"/>
          <w:b w:val="0"/>
          <w:bCs w:val="0"/>
          <w:snapToGrid w:val="0"/>
          <w:color w:val="auto"/>
          <w:kern w:val="2"/>
          <w:sz w:val="44"/>
          <w:szCs w:val="44"/>
          <w:lang w:val="en-US" w:eastAsia="zh-CN"/>
        </w:rPr>
        <w:t>印发《</w:t>
      </w:r>
      <w:r>
        <w:rPr>
          <w:rFonts w:hint="eastAsia" w:ascii="方正小标宋简体" w:hAnsi="方正小标宋简体" w:eastAsia="方正小标宋简体" w:cs="方正小标宋简体"/>
          <w:b w:val="0"/>
          <w:bCs w:val="0"/>
          <w:snapToGrid w:val="0"/>
          <w:color w:val="auto"/>
          <w:kern w:val="2"/>
          <w:sz w:val="44"/>
          <w:szCs w:val="44"/>
          <w:lang w:eastAsia="zh-CN"/>
        </w:rPr>
        <w:t>承德应用技术职业学院学生学籍管理规定（修订）</w:t>
      </w:r>
      <w:r>
        <w:rPr>
          <w:rFonts w:hint="eastAsia" w:ascii="方正小标宋简体" w:hAnsi="方正小标宋简体" w:eastAsia="方正小标宋简体" w:cs="方正小标宋简体"/>
          <w:b w:val="0"/>
          <w:bCs w:val="0"/>
          <w:snapToGrid w:val="0"/>
          <w:color w:val="auto"/>
          <w:kern w:val="2"/>
          <w:sz w:val="44"/>
          <w:szCs w:val="44"/>
          <w:lang w:val="en-US" w:eastAsia="zh-CN"/>
        </w:rPr>
        <w:t>》的通知</w:t>
      </w:r>
    </w:p>
    <w:p w14:paraId="63851305">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olor w:val="auto"/>
          <w:sz w:val="32"/>
          <w:szCs w:val="32"/>
          <w:lang w:val="en-US" w:eastAsia="zh-CN"/>
        </w:rPr>
      </w:pPr>
    </w:p>
    <w:p w14:paraId="3B2A09C6">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各单位：</w:t>
      </w:r>
    </w:p>
    <w:p w14:paraId="6CFAAF5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eastAsia="zh-CN"/>
        </w:rPr>
        <w:t>承德应用技术职业学院学生学籍管理规定（修订）</w:t>
      </w:r>
      <w:r>
        <w:rPr>
          <w:rFonts w:hint="eastAsia" w:ascii="仿宋_GB2312" w:hAnsi="仿宋_GB2312" w:eastAsia="仿宋_GB2312" w:cs="仿宋_GB2312"/>
          <w:bCs/>
          <w:color w:val="auto"/>
          <w:sz w:val="32"/>
          <w:szCs w:val="32"/>
          <w:lang w:val="en-US" w:eastAsia="zh-CN"/>
        </w:rPr>
        <w:t>》经第87</w:t>
      </w:r>
      <w:r>
        <w:rPr>
          <w:rFonts w:hint="eastAsia" w:ascii="仿宋_GB2312" w:hAnsi="仿宋_GB2312" w:eastAsia="仿宋_GB2312" w:cs="仿宋_GB2312"/>
          <w:bCs/>
          <w:color w:val="auto"/>
          <w:sz w:val="32"/>
          <w:szCs w:val="32"/>
        </w:rPr>
        <w:t>次党委会</w:t>
      </w:r>
      <w:r>
        <w:rPr>
          <w:rFonts w:hint="eastAsia" w:ascii="仿宋_GB2312" w:hAnsi="仿宋_GB2312" w:eastAsia="仿宋_GB2312" w:cs="仿宋_GB2312"/>
          <w:bCs/>
          <w:color w:val="auto"/>
          <w:sz w:val="32"/>
          <w:szCs w:val="32"/>
          <w:lang w:val="en-US" w:eastAsia="zh-CN"/>
        </w:rPr>
        <w:t>审议通过，现印发给你们，请遵照执行。</w:t>
      </w:r>
    </w:p>
    <w:p w14:paraId="2D48844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auto"/>
          <w:sz w:val="32"/>
          <w:szCs w:val="32"/>
        </w:rPr>
      </w:pPr>
    </w:p>
    <w:p w14:paraId="7CEB980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auto"/>
          <w:sz w:val="32"/>
          <w:szCs w:val="32"/>
        </w:rPr>
      </w:pPr>
    </w:p>
    <w:p w14:paraId="30573370">
      <w:pPr>
        <w:keepNext w:val="0"/>
        <w:keepLines w:val="0"/>
        <w:pageBreakBefore w:val="0"/>
        <w:widowControl w:val="0"/>
        <w:kinsoku/>
        <w:wordWrap w:val="0"/>
        <w:overflowPunct/>
        <w:topLinePunct/>
        <w:autoSpaceDE/>
        <w:autoSpaceDN/>
        <w:bidi w:val="0"/>
        <w:adjustRightInd/>
        <w:snapToGrid w:val="0"/>
        <w:spacing w:line="560" w:lineRule="exact"/>
        <w:ind w:firstLine="2560" w:firstLineChars="800"/>
        <w:jc w:val="left"/>
        <w:textAlignment w:val="auto"/>
        <w:outlineLvl w:val="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承德应用技术职业学院党政办公室</w:t>
      </w:r>
      <w:r>
        <w:rPr>
          <w:rFonts w:hint="eastAsia" w:ascii="仿宋_GB2312" w:hAnsi="仿宋_GB2312" w:eastAsia="仿宋_GB2312" w:cs="仿宋_GB2312"/>
          <w:bCs/>
          <w:color w:val="auto"/>
          <w:sz w:val="32"/>
          <w:szCs w:val="32"/>
          <w:lang w:val="en-US" w:eastAsia="zh-CN"/>
        </w:rPr>
        <w:t xml:space="preserve">    </w:t>
      </w:r>
    </w:p>
    <w:p w14:paraId="19F6C9F9">
      <w:pPr>
        <w:keepNext w:val="0"/>
        <w:keepLines w:val="0"/>
        <w:pageBreakBefore w:val="0"/>
        <w:widowControl w:val="0"/>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7</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11日</w:t>
      </w:r>
    </w:p>
    <w:p w14:paraId="1DC55229">
      <w:pPr>
        <w:keepNext w:val="0"/>
        <w:keepLines w:val="0"/>
        <w:pageBreakBefore w:val="0"/>
        <w:widowControl w:val="0"/>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bCs/>
          <w:color w:val="auto"/>
          <w:sz w:val="32"/>
          <w:szCs w:val="32"/>
          <w:lang w:val="en-US" w:eastAsia="zh-CN"/>
        </w:rPr>
      </w:pPr>
    </w:p>
    <w:p w14:paraId="27E306FD">
      <w:pPr>
        <w:keepNext w:val="0"/>
        <w:keepLines w:val="0"/>
        <w:pageBreakBefore w:val="0"/>
        <w:widowControl w:val="0"/>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bCs/>
          <w:color w:val="auto"/>
          <w:sz w:val="32"/>
          <w:szCs w:val="32"/>
          <w:lang w:val="en-US" w:eastAsia="zh-CN"/>
        </w:rPr>
      </w:pPr>
    </w:p>
    <w:p w14:paraId="5904DA70">
      <w:pPr>
        <w:keepNext w:val="0"/>
        <w:keepLines w:val="0"/>
        <w:pageBreakBefore w:val="0"/>
        <w:widowControl w:val="0"/>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bCs/>
          <w:color w:val="auto"/>
          <w:sz w:val="32"/>
          <w:szCs w:val="32"/>
          <w:lang w:val="en-US" w:eastAsia="zh-CN"/>
        </w:rPr>
      </w:pPr>
    </w:p>
    <w:p w14:paraId="312E1CE1">
      <w:pPr>
        <w:keepNext w:val="0"/>
        <w:keepLines w:val="0"/>
        <w:pageBreakBefore w:val="0"/>
        <w:widowControl w:val="0"/>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bCs/>
          <w:color w:val="auto"/>
          <w:sz w:val="32"/>
          <w:szCs w:val="32"/>
          <w:lang w:val="en-US" w:eastAsia="zh-CN"/>
        </w:rPr>
      </w:pPr>
    </w:p>
    <w:p w14:paraId="54A0C76D">
      <w:pPr>
        <w:keepNext w:val="0"/>
        <w:keepLines w:val="0"/>
        <w:pageBreakBefore w:val="0"/>
        <w:widowControl w:val="0"/>
        <w:kinsoku/>
        <w:overflowPunct/>
        <w:autoSpaceDE/>
        <w:autoSpaceDN/>
        <w:bidi w:val="0"/>
        <w:adjustRightInd w:val="0"/>
        <w:snapToGrid w:val="0"/>
        <w:spacing w:line="560" w:lineRule="exact"/>
        <w:jc w:val="center"/>
        <w:textAlignment w:val="auto"/>
        <w:rPr>
          <w:rFonts w:hint="eastAsia" w:ascii="仿宋_GB2312" w:hAnsi="仿宋_GB2312" w:eastAsia="仿宋_GB2312" w:cs="仿宋_GB2312"/>
          <w:bCs/>
          <w:color w:val="auto"/>
          <w:sz w:val="32"/>
          <w:szCs w:val="32"/>
          <w:lang w:val="en-US" w:eastAsia="zh-CN"/>
        </w:rPr>
      </w:pPr>
    </w:p>
    <w:p w14:paraId="5B3BDF57">
      <w:pPr>
        <w:keepNext w:val="0"/>
        <w:keepLines w:val="0"/>
        <w:pageBreakBefore w:val="0"/>
        <w:widowControl w:val="0"/>
        <w:kinsoku/>
        <w:overflowPunct/>
        <w:autoSpaceDE/>
        <w:autoSpaceDN/>
        <w:bidi w:val="0"/>
        <w:spacing w:line="560" w:lineRule="exact"/>
        <w:ind w:firstLine="1307" w:firstLineChars="296"/>
        <w:textAlignment w:val="auto"/>
        <w:rPr>
          <w:rFonts w:hint="eastAsia" w:asciiTheme="majorEastAsia" w:hAnsiTheme="majorEastAsia" w:eastAsiaTheme="majorEastAsia"/>
          <w:b/>
          <w:color w:val="auto"/>
          <w:sz w:val="44"/>
          <w:szCs w:val="44"/>
          <w:shd w:val="clear" w:color="auto" w:fill="FFFFFF"/>
        </w:rPr>
      </w:pPr>
    </w:p>
    <w:p w14:paraId="379D8913">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kern w:val="2"/>
          <w:sz w:val="44"/>
          <w:szCs w:val="44"/>
          <w:lang w:eastAsia="zh-CN"/>
        </w:rPr>
      </w:pPr>
      <w:r>
        <w:rPr>
          <w:rFonts w:hint="eastAsia" w:ascii="方正小标宋简体" w:hAnsi="方正小标宋简体" w:eastAsia="方正小标宋简体" w:cs="方正小标宋简体"/>
          <w:b w:val="0"/>
          <w:bCs w:val="0"/>
          <w:snapToGrid w:val="0"/>
          <w:color w:val="auto"/>
          <w:kern w:val="2"/>
          <w:sz w:val="44"/>
          <w:szCs w:val="44"/>
          <w:lang w:eastAsia="zh-CN"/>
        </w:rPr>
        <w:t>承德应用技术职业学院学生学籍管理规定</w:t>
      </w:r>
      <w:bookmarkEnd w:id="0"/>
      <w:bookmarkEnd w:id="1"/>
      <w:bookmarkEnd w:id="2"/>
      <w:r>
        <w:rPr>
          <w:rFonts w:hint="eastAsia" w:ascii="方正小标宋简体" w:hAnsi="方正小标宋简体" w:eastAsia="方正小标宋简体" w:cs="方正小标宋简体"/>
          <w:b w:val="0"/>
          <w:bCs w:val="0"/>
          <w:snapToGrid w:val="0"/>
          <w:color w:val="auto"/>
          <w:kern w:val="2"/>
          <w:sz w:val="44"/>
          <w:szCs w:val="44"/>
          <w:lang w:eastAsia="zh-CN"/>
        </w:rPr>
        <w:t>（修订）</w:t>
      </w:r>
    </w:p>
    <w:p w14:paraId="0BC3F7F6">
      <w:pPr>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kern w:val="2"/>
          <w:sz w:val="44"/>
          <w:szCs w:val="44"/>
          <w:lang w:eastAsia="zh-CN"/>
        </w:rPr>
      </w:pPr>
    </w:p>
    <w:p w14:paraId="74A87F7C">
      <w:pPr>
        <w:keepNext w:val="0"/>
        <w:keepLines w:val="0"/>
        <w:pageBreakBefore w:val="0"/>
        <w:widowControl w:val="0"/>
        <w:numPr>
          <w:ilvl w:val="0"/>
          <w:numId w:val="0"/>
        </w:numPr>
        <w:kinsoku/>
        <w:overflowPunct/>
        <w:autoSpaceDE/>
        <w:autoSpaceDN/>
        <w:bidi w:val="0"/>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 则</w:t>
      </w:r>
    </w:p>
    <w:p w14:paraId="7F2FB1CD">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第一条</w:t>
      </w:r>
      <w:r>
        <w:rPr>
          <w:rFonts w:hint="eastAsia" w:ascii="仿宋_GB2312" w:hAnsi="仿宋_GB2312" w:eastAsia="仿宋_GB2312" w:cs="仿宋_GB2312"/>
          <w:color w:val="auto"/>
          <w:kern w:val="2"/>
          <w:sz w:val="32"/>
          <w:szCs w:val="32"/>
        </w:rPr>
        <w:t xml:space="preserve"> 为维护学院正常的教育教学秩序，加强和完善学生的学籍管理，保障学生身心健康，促进学生德、智、体、美、劳全面发展，依据《中华人民共和国教育法》《高等教育法》、教育部《普通高等学院学生管理规定》《承德应用技术职业学院学生管理规定》及其它法律、法规性文件的有关规定，结合学院的具体情况，特制定本规定。                                                                                                   </w:t>
      </w:r>
    </w:p>
    <w:p w14:paraId="63C50C1E">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rPr>
        <w:t>第二条</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 xml:space="preserve">本规定适合于学院全日制高职在校生。    </w:t>
      </w:r>
    </w:p>
    <w:p w14:paraId="196EC47A">
      <w:pPr>
        <w:keepNext w:val="0"/>
        <w:keepLines w:val="0"/>
        <w:pageBreakBefore w:val="0"/>
        <w:widowControl w:val="0"/>
        <w:numPr>
          <w:ilvl w:val="0"/>
          <w:numId w:val="0"/>
        </w:numPr>
        <w:kinsoku/>
        <w:overflowPunct/>
        <w:autoSpaceDE/>
        <w:autoSpaceDN/>
        <w:bidi w:val="0"/>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入学与注册</w:t>
      </w:r>
    </w:p>
    <w:p w14:paraId="49742D2C">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rPr>
        <w:t>第三条</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按国家招生规定录取的新生，应持《承德应用技术职业学院录取通知书》《准考证》及本人身份证等有关证件，按学院规定的报到时间到校缴纳各项费用，办理入学报到手续。确有特殊原因不能按期入学的，须提前向所在系辅导员请假，并附相关证明，经批准后允许推迟报到。申请推迟报到时间最长不超过一个月。到期仍未报到者，视为放弃入学资格，学院将取消入学资格。未请假或者请假逾期的，除因不可抗力等正当事由以外，视为放弃入学资格。</w:t>
      </w:r>
    </w:p>
    <w:p w14:paraId="08F5DB50">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lang w:val="en-US" w:eastAsia="zh-CN"/>
        </w:rPr>
        <w:t>第四条</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招生部门、各系应当在报到时对新生入学资格进行初步审查，审查合格的办理入学手续。审查发现新生的录取通知、考生信息等证明材料，与本人实际情况不符，或者有其他违反国家招生考试规定情形的，取消入学资格。</w:t>
      </w:r>
    </w:p>
    <w:p w14:paraId="5AEB35DF">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第五条</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新生满足下列情况之一者，可申请保留入学资格，保留入学资格者不具有学籍。保留入学资格期间不计入学习年限。</w:t>
      </w:r>
    </w:p>
    <w:p w14:paraId="0C7E937E">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（一）患有疾病不宜在校学习的新生，经学院指定的二级甲等以上医院诊断，通过治疗在1年内可以达到招生体检标准者，经学生本人申请，学院批准，可暂不予注册，保留入学资格1年。</w:t>
      </w:r>
    </w:p>
    <w:p w14:paraId="6EECF654">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在保留入学资格期间内经治疗康复者，可在下一学年新生入学前，持学院指定的二级甲等以上医院诊断证明，向学院提交入学申请，经学院复查，符合体检标准的，经批准后，可重新办理入学手续；复查不合格或逾期不申请办理入学手续者，取消入学资格。</w:t>
      </w:r>
    </w:p>
    <w:p w14:paraId="13B2DF24">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因应征参加中国人民解放军（含中国人民武装警察部队）无法入学的，保留入学资格至退役后2年，学生（学生家长）需要办理应征入伍保留入学资格手续。学生可在退役2年内持退役证明和保留入学资格证明及本人身份证办理入学手续。</w:t>
      </w:r>
    </w:p>
    <w:p w14:paraId="50272DD6">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入伍新生在新兵复查期间因身体原因被退回，可持县级征兵办证明和录取通知书到学院办理入学手续；因身体原因不宜继续在部队服役而中途退役，可在退役当年办理入学手续。如果错过当年入学期间，可顺延1年到学院办理入学手续。</w:t>
      </w:r>
    </w:p>
    <w:p w14:paraId="0A1648B5">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入伍后因政治原因或者拒绝服兵役被部队退回、服役期间受到除名或者开除军籍处分的，或者被依法追究刑事责任的，学院接到县级征兵办告知后，取消入学资格。</w:t>
      </w:r>
    </w:p>
    <w:p w14:paraId="13EFF2B1">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（三）因其他情况无法入学的，保留入学资格1年；</w:t>
      </w:r>
    </w:p>
    <w:p w14:paraId="773E26D8">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学生保留入学资格期满前应向学院申请入学，逾期2周不办理入学手续且无正当理由的，视为放弃入学资格。</w:t>
      </w:r>
    </w:p>
    <w:p w14:paraId="266535AA">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第六条</w:t>
      </w:r>
      <w:r>
        <w:rPr>
          <w:rFonts w:hint="eastAsia" w:ascii="仿宋_GB2312" w:hAnsi="仿宋_GB2312" w:eastAsia="仿宋_GB2312" w:cs="仿宋_GB2312"/>
          <w:color w:val="auto"/>
          <w:kern w:val="2"/>
          <w:sz w:val="32"/>
          <w:szCs w:val="32"/>
        </w:rPr>
        <w:t xml:space="preserve"> 学生入学后，学工处、招生就业办、各系及相关部门应当在3个月内按照国家招生规定对入学资格进行复查。复查工作由各系组织新生辅导员完成，各系汇总复查结果，将复查报告交学工处。学工处对新生入学后进行的图像信息采集照片与学信网上学生照片利用“人相比对”逐一进行比对，确保准确无误。复查内容主要包括以下方面：</w:t>
      </w:r>
    </w:p>
    <w:p w14:paraId="13C884B7">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（一）录取手续及程序等是否合乎国家招生规定；</w:t>
      </w:r>
    </w:p>
    <w:p w14:paraId="0E981EAD">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（二）所获得的录取资格是否真实、合乎相关规定；</w:t>
      </w:r>
    </w:p>
    <w:p w14:paraId="7CDD7D2E">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（三）本人及身份证明与录取通知、考生档案等是否一致；</w:t>
      </w:r>
    </w:p>
    <w:p w14:paraId="58183F9A">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（四）身心健康状况是否符合报考专业或者专业类别体检要求，能否保证在校正常学习、生活；</w:t>
      </w:r>
    </w:p>
    <w:p w14:paraId="354CD462">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（五）艺术、体育等特殊类型录取学生的专业水平是否符合录取要求。</w:t>
      </w:r>
    </w:p>
    <w:p w14:paraId="5F7C7A7B">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复查中发现学生存在弄虚作假、徇私舞弊等情形的，确定为复查不合格，应当取消学籍；情节严重的，学院应当移交有关部门调查处理。</w:t>
      </w:r>
    </w:p>
    <w:p w14:paraId="4573BA71">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复查中发现学生患有疾病或身心状态不宜在校学习的，经学院指定的二级甲等以上医院诊断，通过治疗在1年内可达到入学体检要求的，可保留入学资格1年。保留入学资格的新生应在批准后2个工作日内办理离校手续。在保留入学资格期间内经治疗康复，可以在下一年新生报到前向学院提交入学申请，经学院指定医院诊断，符合入学要求，复查合格后，可按当年新生办理入学手续。</w:t>
      </w:r>
    </w:p>
    <w:p w14:paraId="03C46143">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有下列情况取消入学资格：</w:t>
      </w:r>
    </w:p>
    <w:p w14:paraId="1FD40382">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一年后复查不合格；</w:t>
      </w:r>
    </w:p>
    <w:p w14:paraId="23976699">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保留入学资格一年期满，在下一年级新生入学报到</w:t>
      </w:r>
    </w:p>
    <w:p w14:paraId="0247C34B">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日起10个工作日内，未提出书面《入学申请》或办理入学手续者。</w:t>
      </w:r>
    </w:p>
    <w:p w14:paraId="161BC135">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已注册的新生由各系建立其学籍档案，并逐步补充。学籍档案内容包括高考报名登记表、政审表、体检表、综合评价成绩、奖励或处分材料、成绩单、实习鉴定表、毕业论文（设计）、学生入学登记表、毕业生登记表等材料。</w:t>
      </w:r>
    </w:p>
    <w:p w14:paraId="5A310CA4">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每学期开学时，学生必须按照学院通知的开学时间按时到校报到，按学院规定缴纳学费及有关费用并办理注册手续以取得学习资格。每学期开学初两周内，由学生本人持学生证和相关手续到所在系办理注册手续，每学年第一学期注册时还应当出示缴费凭证。学年注册需要各系和辅导员核对学生的基本信息、缴费情况、学生人数,向学籍管理部门提交核对报告，统一到学籍管理部门办理注册备案。学籍管理部门对符合注册条件在学信网进行学年注册。不能如期注册者，应当履行暂缓注册手续，暂缓注册由学生本人申请、系意见、学工处审核，暂缓注册截止时间为上级主管部门规定的截止注册时间以前。未按学院规定缴纳学费或者其他不</w:t>
      </w:r>
      <w:r>
        <w:rPr>
          <w:rFonts w:hint="eastAsia" w:ascii="仿宋" w:hAnsi="仿宋" w:eastAsia="仿宋" w:cs="仿宋"/>
          <w:color w:val="auto"/>
          <w:sz w:val="32"/>
          <w:szCs w:val="32"/>
        </w:rPr>
        <w:t>符</w:t>
      </w:r>
      <w:r>
        <w:rPr>
          <w:rFonts w:hint="eastAsia" w:ascii="仿宋_GB2312" w:hAnsi="仿宋_GB2312" w:eastAsia="仿宋_GB2312" w:cs="仿宋_GB2312"/>
          <w:color w:val="auto"/>
          <w:kern w:val="2"/>
          <w:sz w:val="32"/>
          <w:szCs w:val="32"/>
        </w:rPr>
        <w:t>合注册条件的不予注册。家庭经济困难的学生可以申请助学贷款或者其他形式资助，办理学费缓交手续（填写《承德应用技术职业学院缓交学费申请表》,由本人提出申请，辅导员、系、学工处、财务处签署意见，主管学生工作副院长审批、院长审批同意）后注册。学院按照国家有关规定为家庭经济困难学生提供教育救助，保证学生不因家庭经济困难而放弃学业。</w:t>
      </w:r>
    </w:p>
    <w:p w14:paraId="26BEE0DF">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超过学院规定注册期限未注册的，视为自动放弃学籍。</w:t>
      </w:r>
    </w:p>
    <w:p w14:paraId="03C59711">
      <w:pPr>
        <w:keepNext w:val="0"/>
        <w:keepLines w:val="0"/>
        <w:pageBreakBefore w:val="0"/>
        <w:widowControl w:val="0"/>
        <w:numPr>
          <w:ilvl w:val="0"/>
          <w:numId w:val="0"/>
        </w:numPr>
        <w:kinsoku/>
        <w:overflowPunct/>
        <w:autoSpaceDE/>
        <w:autoSpaceDN/>
        <w:bidi w:val="0"/>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考核与成绩记载</w:t>
      </w:r>
    </w:p>
    <w:p w14:paraId="2FF5D896">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w:t>
      </w:r>
      <w:r>
        <w:rPr>
          <w:rFonts w:hint="eastAsia" w:ascii="仿宋_GB2312" w:hAnsi="仿宋_GB2312" w:eastAsia="仿宋_GB2312" w:cs="仿宋_GB2312"/>
          <w:b/>
          <w:bCs/>
          <w:color w:val="auto"/>
          <w:kern w:val="2"/>
          <w:sz w:val="32"/>
          <w:szCs w:val="32"/>
          <w:lang w:val="en-US" w:eastAsia="zh-CN"/>
        </w:rPr>
        <w:t>七</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考核范围</w:t>
      </w:r>
    </w:p>
    <w:p w14:paraId="34C1D228">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生应当参加学院教育教学计划规定的课程和各种教育教学环节（以下统称课程）的考核，考核成绩记入成绩册，并归入本人档案。学生应当按时参加教育教学计划规定的活动。不能按时参加的，应当事先请假并获得批准。无故缺席的，根据学院有关规定给予批评教育，情节严重的，给予相应的纪律处分。</w:t>
      </w:r>
    </w:p>
    <w:p w14:paraId="0AA81E8D">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w:t>
      </w:r>
      <w:r>
        <w:rPr>
          <w:rFonts w:hint="eastAsia" w:ascii="仿宋_GB2312" w:hAnsi="仿宋_GB2312" w:eastAsia="仿宋_GB2312" w:cs="仿宋_GB2312"/>
          <w:b/>
          <w:bCs/>
          <w:color w:val="auto"/>
          <w:kern w:val="2"/>
          <w:sz w:val="32"/>
          <w:szCs w:val="32"/>
          <w:lang w:val="en-US" w:eastAsia="zh-CN"/>
        </w:rPr>
        <w:t>八</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考核方式 </w:t>
      </w:r>
    </w:p>
    <w:p w14:paraId="6EA8CEC7">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（一）考核方式分为考试和考查两种，考核和成绩评定方式由教务处制定具体办法。</w:t>
      </w:r>
    </w:p>
    <w:p w14:paraId="5D11940A">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（二）课程考核方法采用开卷、闭卷、操作、实验、口试、答辩等多形式多样化的方法进行。课程考核成绩以学生参加学院规定的教学活动情况及结课成绩进行综合评定。</w:t>
      </w:r>
    </w:p>
    <w:p w14:paraId="06692545">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（三）毕业设计、毕业论文采用答辩的方法进行考核，成绩按优、良、合格、不合格计。</w:t>
      </w:r>
    </w:p>
    <w:p w14:paraId="0AC76F2F">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（四）在特殊情况下，为更大限度地保障学生的利益，学院可以增加考核次数。</w:t>
      </w:r>
    </w:p>
    <w:p w14:paraId="20010A82">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（五）学生参加创新创业、社会实践等活动以及发表论文、获得专利授权等与专业学习、学业要求相关的经历、成果，经教务处审核后，可以折算为学分，计入学业成绩。</w:t>
      </w:r>
    </w:p>
    <w:p w14:paraId="62FCEC0D">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六）学生根据教务处有关规定，可以申请辅修校内其他专业或者选修其他专业课程，可以申请跨校辅修专业或者修读课程，可以参加学校认可的开放式网络课程学习。学生修读的课程成绩（学分），经系、教务处审核同意后，予以承认。</w:t>
      </w:r>
    </w:p>
    <w:p w14:paraId="1BF88BDC">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w:t>
      </w:r>
      <w:r>
        <w:rPr>
          <w:rFonts w:hint="eastAsia" w:ascii="仿宋_GB2312" w:hAnsi="仿宋_GB2312" w:eastAsia="仿宋_GB2312" w:cs="仿宋_GB2312"/>
          <w:b/>
          <w:bCs/>
          <w:color w:val="auto"/>
          <w:kern w:val="2"/>
          <w:sz w:val="32"/>
          <w:szCs w:val="32"/>
          <w:lang w:val="en-US" w:eastAsia="zh-CN"/>
        </w:rPr>
        <w:t>九</w:t>
      </w:r>
      <w:r>
        <w:rPr>
          <w:rFonts w:hint="eastAsia" w:ascii="仿宋_GB2312" w:hAnsi="仿宋_GB2312" w:eastAsia="仿宋_GB2312" w:cs="仿宋_GB2312"/>
          <w:b/>
          <w:bCs/>
          <w:color w:val="auto"/>
          <w:kern w:val="2"/>
          <w:sz w:val="32"/>
          <w:szCs w:val="32"/>
        </w:rPr>
        <w:t xml:space="preserve">条 </w:t>
      </w:r>
      <w:r>
        <w:rPr>
          <w:rFonts w:hint="eastAsia" w:ascii="仿宋_GB2312" w:hAnsi="仿宋_GB2312" w:eastAsia="仿宋_GB2312" w:cs="仿宋_GB2312"/>
          <w:color w:val="auto"/>
          <w:kern w:val="2"/>
          <w:sz w:val="32"/>
          <w:szCs w:val="32"/>
        </w:rPr>
        <w:t xml:space="preserve">考核要求   </w:t>
      </w:r>
    </w:p>
    <w:p w14:paraId="291A484C">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（一）各类考核不合格者可参加补考（旷考、考试违纪及作弊者除外）。</w:t>
      </w:r>
    </w:p>
    <w:p w14:paraId="7054491F">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（二）因特殊情况不能参加考核，必须到所在教学系部办理缓考手续，经系、部领导批准报教务处备案后方可缓考。未经批准自行缺考，一律按旷考处理。补考不允许缓考。</w:t>
      </w:r>
    </w:p>
    <w:p w14:paraId="6C862F55">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（三）正常补考时间按照学院安排时间进行。</w:t>
      </w:r>
    </w:p>
    <w:p w14:paraId="72D2C07E">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（四）凡旷考、考试违纪或考试作弊者，该课程以零分计。</w:t>
      </w:r>
    </w:p>
    <w:p w14:paraId="1A2FA247">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（五）学院定期开展学生诚信教育，记录学生学业、学术、品行等方面的诚信信息，建立对失信行为的约束和惩戒机制；对有严重失信行为的，可以给予相应的纪律处分。</w:t>
      </w:r>
    </w:p>
    <w:p w14:paraId="3071450D">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六）学生严重违反考核纪律或者作弊的，该课程考核成绩记为无效，并应视其违纪或者作弊情节，给予相应的纪律处分。给予警告、严重警告、记过及留校察看处分的，经教育表现较好，可以对该课程给予补考或者重修机会。</w:t>
      </w:r>
    </w:p>
    <w:p w14:paraId="0472D39A">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第十条</w:t>
      </w:r>
      <w:r>
        <w:rPr>
          <w:rFonts w:hint="eastAsia" w:ascii="仿宋_GB2312" w:hAnsi="仿宋_GB2312" w:eastAsia="仿宋_GB2312" w:cs="仿宋_GB2312"/>
          <w:color w:val="auto"/>
          <w:kern w:val="2"/>
          <w:sz w:val="32"/>
          <w:szCs w:val="32"/>
        </w:rPr>
        <w:t xml:space="preserve"> 升级与留（降）级</w:t>
      </w:r>
    </w:p>
    <w:p w14:paraId="442C602F">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（一）学生学完本学年教学计划的全部课程，且符合学院要求，准予升级。</w:t>
      </w:r>
    </w:p>
    <w:p w14:paraId="7572CF7A">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经补考后，学年（不含毕业学年）累计三门以上（含三门）且四门以下考试课程（经折算后）不及格者，作留级处理。学院承认留级学生原及格的课程成绩，可不参加考试，但须跟班听课。原不及格课程，须参加正常考核。</w:t>
      </w:r>
    </w:p>
    <w:p w14:paraId="508E6472">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（三）留级的学生，如没有连续招生的专业或留入班级人数超限，由学院统一安排在相近专业学习。学生在校期间只能留级一次。</w:t>
      </w:r>
    </w:p>
    <w:p w14:paraId="01B03D43">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（四）课程考核门数以各学期开课门数为计算标准。两门考查课按一门考试课折算。</w:t>
      </w:r>
    </w:p>
    <w:p w14:paraId="612AF0A1">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一</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学生思想品德的考核、鉴定，以《高等学校学生行为准则》为主要依据，采取个人小结，师生民主评议等形式进行，具体以学院学生德育评价要求和学生综合素质评价成绩为准。学生毕业时的毕业思想鉴定，作为学生毕业与否的重要依据。学生体育成绩评定突出过程管理，根据考勤、课内教学、课外锻炼、晨练活动、体育技能和体质健康等情况综合评定，学生晨练等情况纳入学生体育成绩。</w:t>
      </w:r>
    </w:p>
    <w:p w14:paraId="475E40A8">
      <w:pPr>
        <w:keepNext w:val="0"/>
        <w:keepLines w:val="0"/>
        <w:pageBreakBefore w:val="0"/>
        <w:widowControl w:val="0"/>
        <w:numPr>
          <w:ilvl w:val="0"/>
          <w:numId w:val="0"/>
        </w:numPr>
        <w:kinsoku/>
        <w:overflowPunct/>
        <w:autoSpaceDE/>
        <w:autoSpaceDN/>
        <w:bidi w:val="0"/>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转专业与转学</w:t>
      </w:r>
    </w:p>
    <w:p w14:paraId="05E35AA8">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二</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学生原则上应在被录取的专业完成学业。学院可根据教学资源、专业分布、班级人数、招生章程、学生学习等情况, 根据社会对人才需求的发展变化，在学生本人同意的情况下，调整学生所学专业。学生可以申请转专业，学生转专业需由学院批准。以特殊招生形式录取的学生，国家有相关规定或者录取前与学院有明确约定的，不得转专业。</w:t>
      </w:r>
    </w:p>
    <w:p w14:paraId="7E19888A">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三</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学生申请转专业必须在各系教学资源允许的情况下，本着学生自愿与公开、公平、公正原则，依据有关规则和程序执行。</w:t>
      </w:r>
    </w:p>
    <w:p w14:paraId="3498081A">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转入学生的比例根据各专业自身情况确定，一般不超过该专业上年度招生人数的10%，资源紧张的系转入人数不得超过5%，转出学生人数原则上不超过５%。申请转专业学生超过规定比例时，按学习成绩从高到低排名确定。转专业时间为第一学期结束,第二学期开学两周内完成。退役复学学生转专业时间可放宽限制，最迟控制在第二学期结束，第三学期开始前。学生在校期间，只允许转专业一次，并在学校规定时间内统一办理，逾期不再受理。</w:t>
      </w:r>
    </w:p>
    <w:p w14:paraId="477B8B90">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四</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申请转专业条件</w:t>
      </w:r>
    </w:p>
    <w:p w14:paraId="69A5DD0A">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（一）必备条件</w:t>
      </w:r>
    </w:p>
    <w:p w14:paraId="1B1DBEA6">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所学课程考核无不及格，成绩位于所在专业年级前30%，且在校期间无违纪行为，未受过处分，学生综合素质评价优秀。</w:t>
      </w:r>
    </w:p>
    <w:p w14:paraId="5F279D00">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（二）满足必备条件，符合下列条件之一</w:t>
      </w:r>
    </w:p>
    <w:p w14:paraId="0DBEF9C5">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1.学生在学习期间对其他专业有兴趣和专长的，经学院认可，转专业更能发挥其专长的；</w:t>
      </w:r>
    </w:p>
    <w:p w14:paraId="7280BC33">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2.学生入学后发现某种疾病或生理缺陷，经学院指定医院检查证明，不能在原专业学习的；</w:t>
      </w:r>
    </w:p>
    <w:p w14:paraId="4FC0F53A">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3.经学院认可，学生确有某种特殊困难，不转专业无法继续学习，允许其转到其他相关专业就读；</w:t>
      </w:r>
    </w:p>
    <w:p w14:paraId="388C7FEC">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4.学院根据社会对人才需求情况的发展变化，需要适当调整专业的，允许在校学生转到其他相关专业就读；</w:t>
      </w:r>
    </w:p>
    <w:p w14:paraId="01145003">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5.休学创业或退役后复学的学生，因自身情况需要转专业的，学院优先考虑其转专业需要；</w:t>
      </w:r>
    </w:p>
    <w:p w14:paraId="034E3D50">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6.其他符合国家转专业政策规定的。</w:t>
      </w:r>
    </w:p>
    <w:p w14:paraId="6B92DEB5">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五</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有下列情况之一的，不得转专业：</w:t>
      </w:r>
    </w:p>
    <w:p w14:paraId="7C76B761">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（一）新生入学未满一学期或已到毕业年级的；</w:t>
      </w:r>
    </w:p>
    <w:p w14:paraId="7165EBDD">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（二）正在休学、保留学籍或应予退学的；</w:t>
      </w:r>
    </w:p>
    <w:p w14:paraId="6E165F37">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（三）申请转专业学生当年高考分数低于申请转入专业当年录取分数线者；</w:t>
      </w:r>
    </w:p>
    <w:p w14:paraId="6B4FAA67">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（四）入学考试内容不一致的；</w:t>
      </w:r>
    </w:p>
    <w:p w14:paraId="6A492122">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（五）五年一贯制、3+2中高职贯通培养、扩招提升、统招专业不能互转;</w:t>
      </w:r>
    </w:p>
    <w:p w14:paraId="12890EF7">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（六）不得跨专业大类转专业，普通文理类和艺术类、体育类专业之间的;</w:t>
      </w:r>
    </w:p>
    <w:p w14:paraId="2F0FC5A4">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（七）招生时有特殊要求、国家有相关规定或者录取前与学校有明确约定的，特殊类型专业或确定为定向培养的；</w:t>
      </w:r>
    </w:p>
    <w:p w14:paraId="0B1DE8FE">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（八）身体条件不符合申请转入专业体检标准的；</w:t>
      </w:r>
    </w:p>
    <w:p w14:paraId="15800588">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（九）已经转过一次专业的，不得再次申请转专业;</w:t>
      </w:r>
    </w:p>
    <w:p w14:paraId="6B610127">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（十）其他国家政策规定限制转专业的。</w:t>
      </w:r>
    </w:p>
    <w:p w14:paraId="037631B4">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（十一）其他无正当理由的。</w:t>
      </w:r>
    </w:p>
    <w:p w14:paraId="685D75AB">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六</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学生转专业手续</w:t>
      </w:r>
    </w:p>
    <w:p w14:paraId="64781290">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生办理转专业，应当由学生本人向所在系提交申请，并附并附能确认个人专长的佐证材料或学院指定医院的体检证明，学生学习成绩单级专业排名，个人综合表现情况证明等，填写《学生转专业审批表》，经转出专业系和转入专业系同意，教务处、学工处审核，主管领导批准，学院公示5天后，报请院长办公会审议，审议通过后报学籍主管部门审核备案进行学籍异动处理，方可转入另一个专业学习。</w:t>
      </w:r>
    </w:p>
    <w:p w14:paraId="6D6CF84D">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七</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转学</w:t>
      </w:r>
    </w:p>
    <w:p w14:paraId="087E8196">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院一般不办理转学手续，如患病或者确有特殊困难，无法继续在本校学习的，可以申请转学。学生转学须严格按照上级教育主管部门有关规定和学院有关程序办理。学生因学院培养条件改变等非本人原因需要转学的，学院应当出具证明，由所在地省级教育行政部门协调转学到同层次学校。有下列情况之一者，不予考虑转学:</w:t>
      </w:r>
      <w:r>
        <w:rPr>
          <w:rFonts w:hint="eastAsia" w:ascii="仿宋_GB2312" w:hAnsi="仿宋_GB2312" w:eastAsia="仿宋_GB2312" w:cs="仿宋_GB2312"/>
          <w:color w:val="auto"/>
          <w:kern w:val="2"/>
          <w:sz w:val="32"/>
          <w:szCs w:val="32"/>
        </w:rPr>
        <w:tab/>
      </w:r>
    </w:p>
    <w:p w14:paraId="783E0246">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（一）入学未满一学期或者毕业前一年的；</w:t>
      </w:r>
    </w:p>
    <w:p w14:paraId="7DEA2CC4">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（二）高考成绩低于拟转入学院相关专业同一生源地相应年份录取成绩的；</w:t>
      </w:r>
    </w:p>
    <w:p w14:paraId="1BC4466E">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（三）由招生时所在地的下一批次录取院校转入上一批次院校；由低学历层次转为高学历层次的；</w:t>
      </w:r>
    </w:p>
    <w:p w14:paraId="53CE9ABD">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（四）以定向就业招生录取的；</w:t>
      </w:r>
    </w:p>
    <w:p w14:paraId="38132804">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（五）应作退学处理的；</w:t>
      </w:r>
    </w:p>
    <w:p w14:paraId="51F2F5BF">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（六）无正当转学理由的。</w:t>
      </w:r>
    </w:p>
    <w:p w14:paraId="70CA877C">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八</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学生转学的手续，按下列程序办理</w:t>
      </w:r>
    </w:p>
    <w:p w14:paraId="24BC9DDA">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1.由学生提出申请，说明理由，转出学校同意后填写《河北省高等学校学生转学申请（确认）表》（一式五份），附带下列材料（一式三份）报送学工处，经院长办公会或者专题会议研究同意，可以转学。</w:t>
      </w:r>
    </w:p>
    <w:p w14:paraId="73008D22">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（1）该生在校期间已学课程学习成绩单；</w:t>
      </w:r>
    </w:p>
    <w:p w14:paraId="7733427E">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（2）因病要求转学者，应当有学校指定医院的诊断证明；</w:t>
      </w:r>
    </w:p>
    <w:p w14:paraId="048AC068">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（3）因特殊困难要求转学者，应当附有足以说明情况的必要材料；</w:t>
      </w:r>
    </w:p>
    <w:p w14:paraId="5A040728">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（4）转出学校提供载有申请转学学生基本情况的省级招生部门录取新生名册复印件，复印件加盖学校招生部门印章；</w:t>
      </w:r>
    </w:p>
    <w:p w14:paraId="67937E44">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（5）拟转入学校提供拟转入专业当年相同生源地录取最低分学生的省级招生部门录取新生名册复印件，复印件加盖学校招生部门印章。</w:t>
      </w:r>
    </w:p>
    <w:p w14:paraId="205FF6C2">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学院严格审核转学条件及相关证明。对转入学生，认为符合本院培养要求且有培养能力的，经院长办公会研究同意后，将转入学生名单和基本情况记入会议纪要，签署接收函一式三份。接收函应写明学生基本信息、转学理由、相关证明材料核实情况、本校招生部门意见、院长办公会研究结果、网站公示情况等。对转出学生，需召开院长办公会审议。</w:t>
      </w:r>
    </w:p>
    <w:p w14:paraId="1C8A3437">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3.学校对拟转学学生相关信息（主要包括：学生姓名，转出、拟转入学校和专业名称，入学年份，录取分数，转学理由等）通过学校网站进行5个工作日的公示。</w:t>
      </w:r>
    </w:p>
    <w:p w14:paraId="7D01DD3F">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4.转学完成3个月内，由学院报所在地省级教育行政部门备案。跨省转学的，由转出地省级教育行政部门商转入地省级教育行政部门，按转学条件确认后办理转学手续。</w:t>
      </w:r>
    </w:p>
    <w:p w14:paraId="4B91ADBA">
      <w:pPr>
        <w:keepNext w:val="0"/>
        <w:keepLines w:val="0"/>
        <w:pageBreakBefore w:val="0"/>
        <w:widowControl w:val="0"/>
        <w:numPr>
          <w:ilvl w:val="0"/>
          <w:numId w:val="0"/>
        </w:numPr>
        <w:kinsoku/>
        <w:overflowPunct/>
        <w:autoSpaceDE/>
        <w:autoSpaceDN/>
        <w:bidi w:val="0"/>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休学、复学、退学</w:t>
      </w:r>
    </w:p>
    <w:p w14:paraId="2EC28B84">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w:t>
      </w:r>
      <w:r>
        <w:rPr>
          <w:rFonts w:hint="eastAsia" w:ascii="仿宋_GB2312" w:hAnsi="仿宋_GB2312" w:eastAsia="仿宋_GB2312" w:cs="仿宋_GB2312"/>
          <w:b/>
          <w:bCs/>
          <w:color w:val="auto"/>
          <w:kern w:val="2"/>
          <w:sz w:val="32"/>
          <w:szCs w:val="32"/>
          <w:lang w:val="en-US" w:eastAsia="zh-CN"/>
        </w:rPr>
        <w:t>十九</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休学 </w:t>
      </w:r>
    </w:p>
    <w:p w14:paraId="786F23B6">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学院高职专科学制为三年，最长修业年限为五年；3+2学生学制为二年，最长修业年限为四年。除另有规定外，应当在学校规定的最长修业年限（含休学）内完成学业。</w:t>
      </w:r>
    </w:p>
    <w:p w14:paraId="5AB9F85F">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学生可以分阶段完成学业，除另有规定外，应当在学院规定的最长学习年限（含休学）内完成学业。</w:t>
      </w:r>
    </w:p>
    <w:p w14:paraId="2B7A4D13">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生申请休学或因其它原因学院认为应当休学者，应予休学。学生个人原因请假时间超过一学期总学时的三分之一以上的（约50天），必须办理休学手续，三日内离校。学生休学次数最多为两次，每次期限为一年，累计不超过2年。</w:t>
      </w:r>
    </w:p>
    <w:p w14:paraId="0DEB8F59">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休学学生需填写休学申请表，经学生申请，辅导员、系、教务处、学工处等相关部门审核，主管院领导批准，办理休学保留学籍手续。</w:t>
      </w:r>
    </w:p>
    <w:p w14:paraId="20E6FAB6">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学生应征入伍，可办理保留学籍至其退役后两年；逾期不办理复学手续的，不再保留学籍。</w:t>
      </w:r>
    </w:p>
    <w:p w14:paraId="582CE67E">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因休学保留学籍的学生不享受在校生待遇，在保留学籍期间学院不承担其除学籍外的一切责任。</w:t>
      </w:r>
    </w:p>
    <w:p w14:paraId="4D934976">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第二十条</w:t>
      </w:r>
      <w:r>
        <w:rPr>
          <w:rFonts w:hint="eastAsia" w:ascii="仿宋_GB2312" w:hAnsi="仿宋_GB2312" w:eastAsia="仿宋_GB2312" w:cs="仿宋_GB2312"/>
          <w:color w:val="auto"/>
          <w:kern w:val="2"/>
          <w:sz w:val="32"/>
          <w:szCs w:val="32"/>
        </w:rPr>
        <w:t xml:space="preserve"> 复学    </w:t>
      </w:r>
    </w:p>
    <w:p w14:paraId="26761DF8">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学生休学期满，应于学期开学前持相关证明材料向所在系提出书面申请，经教务处、学工处等相关部门审核，批准后办理复学手续。保留学籍期满不办复学手续者，视其自动退学，取消学籍。具体规定如下：</w:t>
      </w:r>
    </w:p>
    <w:p w14:paraId="1C686E5D">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学生休学期满或参军退役后申请复学的，应当提前2周持有关证件和相关材料到本系办理复学申请，填写《承德应用技术职业学院复学审批表》，报教务处、学工处审核批准。</w:t>
      </w:r>
    </w:p>
    <w:p w14:paraId="6D5EB342">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因病休学的学生申请复学时，须持学院指定的二级甲等以上医院诊断证明，确已康复具备复学条件后方可复学，报教务处、学工处批准。经复查不合格的，可以申请继续休学1年，累计不得超过2年。学生休学超过2年的，作退学处理。</w:t>
      </w:r>
    </w:p>
    <w:p w14:paraId="650FE422">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生复学后，一般应编入原专业下一年级，参军退役后申请复学的，应编入原专业相应年级。如对应年级专业无后续班时，可由系提出意见，经教务处、学工处报请院领导批准后可编入相近的专业继续学习或根据具体情况安排处理。</w:t>
      </w:r>
    </w:p>
    <w:p w14:paraId="2DAFE19E">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休学期间如有严重违法乱纪行为的，取消复学资格，做退学处理。   </w:t>
      </w:r>
    </w:p>
    <w:p w14:paraId="4F6F2824">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第二十</w:t>
      </w:r>
      <w:r>
        <w:rPr>
          <w:rFonts w:hint="eastAsia" w:ascii="仿宋_GB2312" w:hAnsi="仿宋_GB2312" w:eastAsia="仿宋_GB2312" w:cs="仿宋_GB2312"/>
          <w:b/>
          <w:bCs/>
          <w:color w:val="auto"/>
          <w:kern w:val="2"/>
          <w:sz w:val="32"/>
          <w:szCs w:val="32"/>
          <w:lang w:val="en-US" w:eastAsia="zh-CN"/>
        </w:rPr>
        <w:t>一</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退学</w:t>
      </w:r>
    </w:p>
    <w:p w14:paraId="7663BA54">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学生本人申请退学的，填写退学申请表，经学院审核同意后，办理退学手续，3日内离校。退学手续需由院长签字。                      </w:t>
      </w:r>
    </w:p>
    <w:p w14:paraId="6AF00CC4">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（一）学生有下列情形之一，学院可予退学处理：</w:t>
      </w:r>
    </w:p>
    <w:p w14:paraId="1626BCE8">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 xml:space="preserve">学业成绩未达到学院要求或者在学院规定的学习年限内未完成学业的； </w:t>
      </w:r>
    </w:p>
    <w:p w14:paraId="6729D3F0">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休学、保留学籍期满，在学院规定期限内未提出复学申请或者申请复学经复查不合格的；</w:t>
      </w:r>
    </w:p>
    <w:p w14:paraId="4AB49F37">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根据学院指定医院诊断，患有疾病或者意外伤残不能继续在校学习的；</w:t>
      </w:r>
    </w:p>
    <w:p w14:paraId="0E4CD295">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未经批准连续两周未参加学院规定的教学活动的；</w:t>
      </w:r>
    </w:p>
    <w:p w14:paraId="34374A30">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超过学院规定期限未注册而又未履行暂缓注册手续的；</w:t>
      </w:r>
    </w:p>
    <w:p w14:paraId="4825E5C9">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学院规定的不能完成学业、应予退学的其他情形。</w:t>
      </w:r>
    </w:p>
    <w:p w14:paraId="70ED1B65">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 xml:space="preserve">有严重违法违纪等行为者； </w:t>
      </w:r>
    </w:p>
    <w:p w14:paraId="5340E78E">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因上述原因对学生作出退学处理，学生所在系应当在听取学生或其代理人的陈述和申辩后，提出处理意见并附相关材料，经学工处审核，提交院长办公会研究批准，出具退学决定书，由学生所在系送交本人，无法送交的在校园网公告，公告之日起7日，即视为送交。同时报上级教育部门备案。</w:t>
      </w:r>
    </w:p>
    <w:p w14:paraId="7C0001C8">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学生如对退学处理有异议，可在收到决定书10日内向学院提出书面申诉。</w:t>
      </w:r>
    </w:p>
    <w:p w14:paraId="275155A3">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（二）学生退学后相关事宜，按下列规定办理：</w:t>
      </w:r>
    </w:p>
    <w:p w14:paraId="764F0AFB">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退学学生应当在退学通知送交或公告之日起5日内办理退学手续离校，逾期不办理退学离校手续又没有申诉者，视其接受学院处理结果。退学学生的档案退回其家庭所在地，户口应当按照国家相关规定迁回原户籍地或者家庭户籍所在地。</w:t>
      </w:r>
    </w:p>
    <w:p w14:paraId="516524EF">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退学学生办理完退学手续后，对于修读一年（含一年）以上的，可以发肄业证书，修读一年以下的，可以发写实性证明。</w:t>
      </w:r>
    </w:p>
    <w:p w14:paraId="3046D871">
      <w:pPr>
        <w:keepNext w:val="0"/>
        <w:keepLines w:val="0"/>
        <w:pageBreakBefore w:val="0"/>
        <w:widowControl w:val="0"/>
        <w:numPr>
          <w:ilvl w:val="0"/>
          <w:numId w:val="0"/>
        </w:numPr>
        <w:kinsoku/>
        <w:overflowPunct/>
        <w:autoSpaceDE/>
        <w:autoSpaceDN/>
        <w:bidi w:val="0"/>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毕业、结业、肄业</w:t>
      </w:r>
    </w:p>
    <w:p w14:paraId="28EA24F1">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第二十</w:t>
      </w:r>
      <w:r>
        <w:rPr>
          <w:rFonts w:hint="eastAsia" w:ascii="仿宋_GB2312" w:hAnsi="仿宋_GB2312" w:eastAsia="仿宋_GB2312" w:cs="仿宋_GB2312"/>
          <w:b/>
          <w:bCs/>
          <w:color w:val="auto"/>
          <w:kern w:val="2"/>
          <w:sz w:val="32"/>
          <w:szCs w:val="32"/>
          <w:lang w:val="en-US" w:eastAsia="zh-CN"/>
        </w:rPr>
        <w:t>二</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毕业、结业、肄业 </w:t>
      </w:r>
    </w:p>
    <w:p w14:paraId="39980CBD">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学生毕业时学院从德、智、体、美、劳五个方面对其作全面鉴定。在学院规定的修业年限内，学完教学计划规定的全部课程（包括毕业设计、论文、实习等环节），考核合格，并在政治觉悟、思想意识、道德品质以及学习、劳动态度、健康状况和职业能力等方面合格，且综合素质评价合格，达到学院毕业要求的，准予毕业，颁发毕业证书。</w:t>
      </w:r>
    </w:p>
    <w:p w14:paraId="192D8AAD">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对完成教学计划规定的内容，有一门以上（含一门）课程（包括毕业论文、毕业设计）不及格者，或思想鉴定未达到毕业要求的学生，按结业学生对待。结业学生在下学期开学后第一周内向学院申请补考一次。学院将在规定时间安排一次结业学生补考，补考合格后换发毕业证书，毕业证书中毕业时间按发证日期填写。补考不及格者，学院只发结业证书。</w:t>
      </w:r>
    </w:p>
    <w:p w14:paraId="032DC46D">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（三）对学满一年以上但未完成教学计划规定内容停止学业的学生，学院发肄业证书或者写实性学习证明。</w:t>
      </w:r>
    </w:p>
    <w:p w14:paraId="0DD53835">
      <w:pPr>
        <w:keepNext w:val="0"/>
        <w:keepLines w:val="0"/>
        <w:pageBreakBefore w:val="0"/>
        <w:widowControl w:val="0"/>
        <w:kinsoku/>
        <w:overflowPunct/>
        <w:autoSpaceDE/>
        <w:autoSpaceDN/>
        <w:bidi w:val="0"/>
        <w:spacing w:line="560" w:lineRule="exact"/>
        <w:jc w:val="center"/>
        <w:textAlignment w:val="auto"/>
        <w:rPr>
          <w:rFonts w:ascii="仿宋" w:hAnsi="仿宋" w:eastAsia="仿宋" w:cs="仿宋"/>
          <w:color w:val="auto"/>
          <w:sz w:val="32"/>
          <w:szCs w:val="32"/>
        </w:rPr>
      </w:pPr>
      <w:r>
        <w:rPr>
          <w:rFonts w:hint="eastAsia" w:ascii="黑体" w:hAnsi="黑体" w:eastAsia="黑体" w:cs="黑体"/>
          <w:color w:val="auto"/>
          <w:sz w:val="32"/>
          <w:szCs w:val="32"/>
        </w:rPr>
        <w:t>第七章 学业证书管理</w:t>
      </w:r>
    </w:p>
    <w:p w14:paraId="47D9FBFC">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第二十</w:t>
      </w:r>
      <w:r>
        <w:rPr>
          <w:rFonts w:hint="eastAsia" w:ascii="仿宋_GB2312" w:hAnsi="仿宋_GB2312" w:eastAsia="仿宋_GB2312" w:cs="仿宋_GB2312"/>
          <w:b/>
          <w:bCs/>
          <w:color w:val="auto"/>
          <w:kern w:val="2"/>
          <w:sz w:val="32"/>
          <w:szCs w:val="32"/>
          <w:lang w:val="en-US" w:eastAsia="zh-CN"/>
        </w:rPr>
        <w:t>三</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毕业资格审查实行院、系、辅导员三级负责制，辅导员按学院有关规定对毕业生学籍信息、学业成绩、德育表现、综合素质评价和学费缴费等情况进行毕业资格初审，审核结果需由学生本人签字确认，各系进行复审，教务处负责审核学业成绩，经辅导员、系、教务处审核后，学生工作处负责为审查合格的毕业生办理毕业。   </w:t>
      </w:r>
    </w:p>
    <w:p w14:paraId="10A4BBE8">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第二十</w:t>
      </w:r>
      <w:r>
        <w:rPr>
          <w:rFonts w:hint="eastAsia" w:ascii="仿宋_GB2312" w:hAnsi="仿宋_GB2312" w:eastAsia="仿宋_GB2312" w:cs="仿宋_GB2312"/>
          <w:b/>
          <w:bCs/>
          <w:color w:val="auto"/>
          <w:kern w:val="2"/>
          <w:sz w:val="32"/>
          <w:szCs w:val="32"/>
          <w:lang w:val="en-US" w:eastAsia="zh-CN"/>
        </w:rPr>
        <w:t>四</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学院严格按照招生时确定的办学类型和学习形式，以及学生招生录取时填报的个人信息，填写、颁发学历证书及其他学业证书。学生在校期间变更姓名、出生日期等证书需填写的个人信息的，应当有合理、充分的理由，并提供有法定效力的相应证明文件，向学院提出申请，辅导员和学生所在系及学生工作处进行审查。</w:t>
      </w:r>
    </w:p>
    <w:p w14:paraId="1AC96017">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第二十</w:t>
      </w:r>
      <w:r>
        <w:rPr>
          <w:rFonts w:hint="eastAsia" w:ascii="仿宋_GB2312" w:hAnsi="仿宋_GB2312" w:eastAsia="仿宋_GB2312" w:cs="仿宋_GB2312"/>
          <w:b/>
          <w:bCs/>
          <w:color w:val="auto"/>
          <w:kern w:val="2"/>
          <w:sz w:val="32"/>
          <w:szCs w:val="32"/>
          <w:lang w:val="en-US" w:eastAsia="zh-CN"/>
        </w:rPr>
        <w:t>五</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全日制专科学生学历证书的办理由学工处负责，毕业证的发放由各系负责，辅导员发放。</w:t>
      </w:r>
    </w:p>
    <w:p w14:paraId="3A781DA9">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第二十</w:t>
      </w:r>
      <w:r>
        <w:rPr>
          <w:rFonts w:hint="eastAsia" w:ascii="仿宋_GB2312" w:hAnsi="仿宋_GB2312" w:eastAsia="仿宋_GB2312" w:cs="仿宋_GB2312"/>
          <w:b/>
          <w:bCs/>
          <w:color w:val="auto"/>
          <w:kern w:val="2"/>
          <w:sz w:val="32"/>
          <w:szCs w:val="32"/>
          <w:lang w:val="en-US" w:eastAsia="zh-CN"/>
        </w:rPr>
        <w:t>六</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毕业证由学生持本人身份证到辅导员处领取，如有特殊情况不能领取者可由委托人领取，需提供毕业生本人身份证复印件、委托人身份证复印件、委托书各一份，以上材料各系长期存档。</w:t>
      </w:r>
    </w:p>
    <w:p w14:paraId="2D16A4ED">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第二十</w:t>
      </w:r>
      <w:r>
        <w:rPr>
          <w:rFonts w:hint="eastAsia" w:ascii="仿宋_GB2312" w:hAnsi="仿宋_GB2312" w:eastAsia="仿宋_GB2312" w:cs="仿宋_GB2312"/>
          <w:b/>
          <w:bCs/>
          <w:color w:val="auto"/>
          <w:kern w:val="2"/>
          <w:sz w:val="32"/>
          <w:szCs w:val="32"/>
          <w:lang w:val="en-US" w:eastAsia="zh-CN"/>
        </w:rPr>
        <w:t>七</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学院执行高等教育学籍学历电子注册管理制度，按相关规定及时完成学生学籍学历电子注册。</w:t>
      </w:r>
    </w:p>
    <w:p w14:paraId="58C1EB58">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第二十</w:t>
      </w:r>
      <w:r>
        <w:rPr>
          <w:rFonts w:hint="eastAsia" w:ascii="仿宋_GB2312" w:hAnsi="仿宋_GB2312" w:eastAsia="仿宋_GB2312" w:cs="仿宋_GB2312"/>
          <w:b/>
          <w:bCs/>
          <w:color w:val="auto"/>
          <w:kern w:val="2"/>
          <w:sz w:val="32"/>
          <w:szCs w:val="32"/>
          <w:lang w:val="en-US" w:eastAsia="zh-CN"/>
        </w:rPr>
        <w:t>八</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对违反国家招生规定取得入学资格或者学籍的，学院取消其学籍，不予发给学历证书；已发的学历证书，学院依法予以撤销。对以作弊、剽窃、抄袭等学术不端行为或者其他不正当手段获得学历证书的，学院依法予以撤销。被撤销的学历证书已注册的，学院予以注销并报教育行政部门宣布无效。</w:t>
      </w:r>
    </w:p>
    <w:p w14:paraId="226E613E">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w:t>
      </w:r>
      <w:r>
        <w:rPr>
          <w:rFonts w:hint="eastAsia" w:ascii="仿宋_GB2312" w:hAnsi="仿宋_GB2312" w:eastAsia="仿宋_GB2312" w:cs="仿宋_GB2312"/>
          <w:b/>
          <w:bCs/>
          <w:color w:val="auto"/>
          <w:kern w:val="2"/>
          <w:sz w:val="32"/>
          <w:szCs w:val="32"/>
          <w:lang w:val="en-US" w:eastAsia="zh-CN"/>
        </w:rPr>
        <w:t>二十九</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学历证书遗失或者损坏，经本人申请，学院核实后应当出具相应的证明书。证明书与原证书具有同等效力，证明书只能出具一次。</w:t>
      </w:r>
    </w:p>
    <w:p w14:paraId="7F954BEE">
      <w:pPr>
        <w:keepNext w:val="0"/>
        <w:keepLines w:val="0"/>
        <w:pageBreakBefore w:val="0"/>
        <w:widowControl w:val="0"/>
        <w:kinsoku/>
        <w:overflowPunct/>
        <w:autoSpaceDE/>
        <w:autoSpaceDN/>
        <w:bidi w:val="0"/>
        <w:spacing w:line="560" w:lineRule="exact"/>
        <w:jc w:val="center"/>
        <w:textAlignment w:val="auto"/>
        <w:rPr>
          <w:rFonts w:ascii="仿宋" w:hAnsi="仿宋" w:eastAsia="仿宋" w:cs="仿宋"/>
          <w:color w:val="auto"/>
          <w:sz w:val="32"/>
          <w:szCs w:val="32"/>
        </w:rPr>
      </w:pPr>
      <w:r>
        <w:rPr>
          <w:rFonts w:hint="eastAsia" w:ascii="黑体" w:hAnsi="黑体" w:eastAsia="黑体" w:cs="黑体"/>
          <w:color w:val="auto"/>
          <w:sz w:val="32"/>
          <w:szCs w:val="32"/>
        </w:rPr>
        <w:t>第八章 附则</w:t>
      </w:r>
    </w:p>
    <w:p w14:paraId="1D8EE372">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第三十条</w:t>
      </w:r>
      <w:r>
        <w:rPr>
          <w:rFonts w:hint="eastAsia" w:ascii="仿宋_GB2312" w:hAnsi="仿宋_GB2312" w:eastAsia="仿宋_GB2312" w:cs="仿宋_GB2312"/>
          <w:color w:val="auto"/>
          <w:kern w:val="2"/>
          <w:sz w:val="32"/>
          <w:szCs w:val="32"/>
        </w:rPr>
        <w:t xml:space="preserve"> 本规定由学生工作处和教务处负责解释。</w:t>
      </w:r>
    </w:p>
    <w:p w14:paraId="0DB85B2B">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第三十</w:t>
      </w:r>
      <w:r>
        <w:rPr>
          <w:rFonts w:hint="eastAsia" w:ascii="仿宋_GB2312" w:hAnsi="仿宋_GB2312" w:eastAsia="仿宋_GB2312" w:cs="仿宋_GB2312"/>
          <w:b/>
          <w:bCs/>
          <w:color w:val="auto"/>
          <w:kern w:val="2"/>
          <w:sz w:val="32"/>
          <w:szCs w:val="32"/>
          <w:lang w:val="en-US" w:eastAsia="zh-CN"/>
        </w:rPr>
        <w:t>一</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本规定适合于我院全日制高职在校生，中专部（承德工业学校）学籍管理规定按中专部原规定执行。</w:t>
      </w:r>
    </w:p>
    <w:p w14:paraId="748E306C">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第三十</w:t>
      </w:r>
      <w:r>
        <w:rPr>
          <w:rFonts w:hint="eastAsia" w:ascii="仿宋_GB2312" w:hAnsi="仿宋_GB2312" w:eastAsia="仿宋_GB2312" w:cs="仿宋_GB2312"/>
          <w:b/>
          <w:bCs/>
          <w:color w:val="auto"/>
          <w:kern w:val="2"/>
          <w:sz w:val="32"/>
          <w:szCs w:val="32"/>
          <w:lang w:val="en-US" w:eastAsia="zh-CN"/>
        </w:rPr>
        <w:t>二</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本规定自发布之日起施行，原《承德应用技术职业学院学生学籍管理规定（试行）》废止。</w:t>
      </w:r>
    </w:p>
    <w:bookmarkEnd w:id="3"/>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BD62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ADB60">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7ADB60">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0BBE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2ECED">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E2ECED">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5E975BDB"/>
    <w:rsid w:val="000C100F"/>
    <w:rsid w:val="000C3029"/>
    <w:rsid w:val="00241D90"/>
    <w:rsid w:val="002D52D0"/>
    <w:rsid w:val="00442583"/>
    <w:rsid w:val="004B4800"/>
    <w:rsid w:val="005036E8"/>
    <w:rsid w:val="00573F8A"/>
    <w:rsid w:val="005A5678"/>
    <w:rsid w:val="00670698"/>
    <w:rsid w:val="00693CD7"/>
    <w:rsid w:val="00771530"/>
    <w:rsid w:val="0082187C"/>
    <w:rsid w:val="00825EAA"/>
    <w:rsid w:val="008671ED"/>
    <w:rsid w:val="009E5DBA"/>
    <w:rsid w:val="00B83DA3"/>
    <w:rsid w:val="00BA4A48"/>
    <w:rsid w:val="00DC48FC"/>
    <w:rsid w:val="00F87E0A"/>
    <w:rsid w:val="00FA243D"/>
    <w:rsid w:val="011971D4"/>
    <w:rsid w:val="0152186D"/>
    <w:rsid w:val="018362EB"/>
    <w:rsid w:val="019A731F"/>
    <w:rsid w:val="02076F1C"/>
    <w:rsid w:val="029F2894"/>
    <w:rsid w:val="0363602F"/>
    <w:rsid w:val="05DB0575"/>
    <w:rsid w:val="064F2C3F"/>
    <w:rsid w:val="06605E7D"/>
    <w:rsid w:val="07BC2382"/>
    <w:rsid w:val="0862403B"/>
    <w:rsid w:val="0867667A"/>
    <w:rsid w:val="09047900"/>
    <w:rsid w:val="0B555A2C"/>
    <w:rsid w:val="0CA55ED7"/>
    <w:rsid w:val="0CC7259C"/>
    <w:rsid w:val="0EFD6F63"/>
    <w:rsid w:val="0F45436A"/>
    <w:rsid w:val="11952D92"/>
    <w:rsid w:val="11AC3478"/>
    <w:rsid w:val="11BE466B"/>
    <w:rsid w:val="12771D3B"/>
    <w:rsid w:val="128D4ECB"/>
    <w:rsid w:val="12D469A6"/>
    <w:rsid w:val="13E72006"/>
    <w:rsid w:val="16BB6401"/>
    <w:rsid w:val="172532BD"/>
    <w:rsid w:val="17B817DA"/>
    <w:rsid w:val="18C44A42"/>
    <w:rsid w:val="1B3C3125"/>
    <w:rsid w:val="1B485F0D"/>
    <w:rsid w:val="1B6E28DA"/>
    <w:rsid w:val="1EDE1F6C"/>
    <w:rsid w:val="20882235"/>
    <w:rsid w:val="20D67D8D"/>
    <w:rsid w:val="20E2444F"/>
    <w:rsid w:val="22A16E15"/>
    <w:rsid w:val="239C1716"/>
    <w:rsid w:val="263E5D2C"/>
    <w:rsid w:val="26AA24F4"/>
    <w:rsid w:val="26EA1C07"/>
    <w:rsid w:val="2B2812B8"/>
    <w:rsid w:val="2B4A28C8"/>
    <w:rsid w:val="2BB2546D"/>
    <w:rsid w:val="2C25135A"/>
    <w:rsid w:val="2C4B162F"/>
    <w:rsid w:val="2C5F58B9"/>
    <w:rsid w:val="2CF17E33"/>
    <w:rsid w:val="2D433E38"/>
    <w:rsid w:val="2DD81348"/>
    <w:rsid w:val="2DFD104F"/>
    <w:rsid w:val="2EB66E3D"/>
    <w:rsid w:val="2FE34BCA"/>
    <w:rsid w:val="306105AC"/>
    <w:rsid w:val="306A5958"/>
    <w:rsid w:val="30C4153F"/>
    <w:rsid w:val="33837950"/>
    <w:rsid w:val="33B75B8C"/>
    <w:rsid w:val="33D370A6"/>
    <w:rsid w:val="3435616E"/>
    <w:rsid w:val="34671A6F"/>
    <w:rsid w:val="348949C4"/>
    <w:rsid w:val="35B36906"/>
    <w:rsid w:val="36296AA1"/>
    <w:rsid w:val="36B96CD0"/>
    <w:rsid w:val="37635003"/>
    <w:rsid w:val="38EB5325"/>
    <w:rsid w:val="3A961AFC"/>
    <w:rsid w:val="3B354A02"/>
    <w:rsid w:val="3BD9781F"/>
    <w:rsid w:val="3C2A295B"/>
    <w:rsid w:val="3CAA23A2"/>
    <w:rsid w:val="3DB35D73"/>
    <w:rsid w:val="3DBC05DF"/>
    <w:rsid w:val="3E3F214B"/>
    <w:rsid w:val="3E490712"/>
    <w:rsid w:val="3F727774"/>
    <w:rsid w:val="3FC47B53"/>
    <w:rsid w:val="41E1359F"/>
    <w:rsid w:val="443E1816"/>
    <w:rsid w:val="46E70E21"/>
    <w:rsid w:val="47BD685E"/>
    <w:rsid w:val="49143FE3"/>
    <w:rsid w:val="49902D15"/>
    <w:rsid w:val="4B22600F"/>
    <w:rsid w:val="4CD86AB8"/>
    <w:rsid w:val="4D005AE7"/>
    <w:rsid w:val="4D2B09BA"/>
    <w:rsid w:val="4E1E53FE"/>
    <w:rsid w:val="4EA56E6D"/>
    <w:rsid w:val="4EA67075"/>
    <w:rsid w:val="50A52C7D"/>
    <w:rsid w:val="51505BB3"/>
    <w:rsid w:val="533244A6"/>
    <w:rsid w:val="53D00121"/>
    <w:rsid w:val="541347E5"/>
    <w:rsid w:val="5537272A"/>
    <w:rsid w:val="56486E48"/>
    <w:rsid w:val="5851175E"/>
    <w:rsid w:val="5B806157"/>
    <w:rsid w:val="5C163158"/>
    <w:rsid w:val="5E975BDB"/>
    <w:rsid w:val="5EE84795"/>
    <w:rsid w:val="5F570FA3"/>
    <w:rsid w:val="5F577D10"/>
    <w:rsid w:val="5F7A62E9"/>
    <w:rsid w:val="5F900738"/>
    <w:rsid w:val="604F4E8B"/>
    <w:rsid w:val="61296CB5"/>
    <w:rsid w:val="61EA2F0B"/>
    <w:rsid w:val="62A2080B"/>
    <w:rsid w:val="62DD22DA"/>
    <w:rsid w:val="63105455"/>
    <w:rsid w:val="63B30D9D"/>
    <w:rsid w:val="63D556A7"/>
    <w:rsid w:val="66455D17"/>
    <w:rsid w:val="67256FD3"/>
    <w:rsid w:val="67A6532D"/>
    <w:rsid w:val="67E40710"/>
    <w:rsid w:val="6A317F9E"/>
    <w:rsid w:val="6A4B1B23"/>
    <w:rsid w:val="6A513A0F"/>
    <w:rsid w:val="6AB54F40"/>
    <w:rsid w:val="6EEA1A1D"/>
    <w:rsid w:val="6F614293"/>
    <w:rsid w:val="6F741326"/>
    <w:rsid w:val="6FD26F3F"/>
    <w:rsid w:val="702D7965"/>
    <w:rsid w:val="71044AEF"/>
    <w:rsid w:val="71297032"/>
    <w:rsid w:val="72245C9F"/>
    <w:rsid w:val="727C184D"/>
    <w:rsid w:val="72CE52AB"/>
    <w:rsid w:val="73602192"/>
    <w:rsid w:val="736B018C"/>
    <w:rsid w:val="7396376B"/>
    <w:rsid w:val="758F471B"/>
    <w:rsid w:val="78FF6FF6"/>
    <w:rsid w:val="796055BB"/>
    <w:rsid w:val="7A2401C6"/>
    <w:rsid w:val="7A49525F"/>
    <w:rsid w:val="7A6B71C8"/>
    <w:rsid w:val="7A94376E"/>
    <w:rsid w:val="7B7724D2"/>
    <w:rsid w:val="7BBC6ED8"/>
    <w:rsid w:val="7C3068C2"/>
    <w:rsid w:val="7C3307F3"/>
    <w:rsid w:val="7D0619DA"/>
    <w:rsid w:val="7E2F213D"/>
    <w:rsid w:val="7E346061"/>
    <w:rsid w:val="7EBC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555555"/>
      <w:sz w:val="28"/>
      <w:szCs w:val="28"/>
      <w:lang w:val="en-US" w:eastAsia="zh-CN" w:bidi="ar-SA"/>
    </w:rPr>
  </w:style>
  <w:style w:type="paragraph" w:styleId="2">
    <w:name w:val="heading 4"/>
    <w:basedOn w:val="1"/>
    <w:next w:val="1"/>
    <w:unhideWhenUsed/>
    <w:qFormat/>
    <w:uiPriority w:val="9"/>
    <w:pPr>
      <w:spacing w:after="0"/>
      <w:jc w:val="left"/>
      <w:outlineLvl w:val="3"/>
    </w:pPr>
    <w:rPr>
      <w:rFonts w:cstheme="majorBidi"/>
      <w:i/>
      <w:iCs/>
      <w:smallCaps/>
      <w:spacing w:val="10"/>
      <w:sz w:val="22"/>
      <w:szCs w:val="2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Plain Text"/>
    <w:basedOn w:val="1"/>
    <w:link w:val="11"/>
    <w:autoRedefine/>
    <w:unhideWhenUsed/>
    <w:qFormat/>
    <w:uiPriority w:val="99"/>
    <w:rPr>
      <w:rFonts w:hAnsi="Courier New" w:cs="Times New Roman"/>
      <w:color w:val="auto"/>
      <w:kern w:val="2"/>
      <w:sz w:val="21"/>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jc w:val="left"/>
    </w:pPr>
    <w:rPr>
      <w:rFonts w:cs="Times New Roman"/>
      <w:sz w:val="24"/>
    </w:rPr>
  </w:style>
  <w:style w:type="paragraph" w:customStyle="1" w:styleId="10">
    <w:name w:val="western"/>
    <w:basedOn w:val="1"/>
    <w:autoRedefine/>
    <w:qFormat/>
    <w:uiPriority w:val="0"/>
    <w:pPr>
      <w:widowControl/>
      <w:spacing w:before="100" w:beforeAutospacing="1" w:after="100" w:afterAutospacing="1"/>
      <w:jc w:val="left"/>
    </w:pPr>
    <w:rPr>
      <w:color w:val="auto"/>
      <w:sz w:val="24"/>
      <w:szCs w:val="24"/>
    </w:rPr>
  </w:style>
  <w:style w:type="character" w:customStyle="1" w:styleId="11">
    <w:name w:val="纯文本 字符"/>
    <w:basedOn w:val="9"/>
    <w:link w:val="4"/>
    <w:autoRedefine/>
    <w:qFormat/>
    <w:uiPriority w:val="99"/>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8350</Words>
  <Characters>8392</Characters>
  <Lines>63</Lines>
  <Paragraphs>17</Paragraphs>
  <TotalTime>0</TotalTime>
  <ScaleCrop>false</ScaleCrop>
  <LinksUpToDate>false</LinksUpToDate>
  <CharactersWithSpaces>8594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2020-07-23T13:46:00Z</dcterms:created>
  <dc:creator>chwnyingchun</dc:creator>
  <cp:lastModifiedBy>dzbdzs</cp:lastModifiedBy>
  <cp:lastPrinted>2024-07-11T07:36:00Z</cp:lastPrinted>
  <dcterms:modified xsi:type="dcterms:W3CDTF">2024-07-11T08:35:18Z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5E9D7775FEC14426BB022319CCAAEE80_13</vt:lpwstr>
  </property>
</Properties>
</file>