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hint="eastAsia" w:ascii="宋体" w:hAnsi="宋体" w:eastAsia="宋体"/>
          <w:b/>
          <w:color w:val="000000"/>
          <w:sz w:val="44"/>
          <w:szCs w:val="44"/>
        </w:rPr>
      </w:pPr>
      <w:r>
        <w:rPr>
          <w:rFonts w:hint="eastAsia" w:ascii="宋体" w:hAnsi="宋体" w:eastAsia="宋体"/>
          <w:b/>
          <w:color w:val="000000"/>
          <w:sz w:val="44"/>
          <w:szCs w:val="44"/>
        </w:rPr>
        <w:t>承德应用技术职业</w:t>
      </w:r>
      <w:r>
        <w:rPr>
          <w:rFonts w:ascii="宋体" w:hAnsi="宋体" w:eastAsia="宋体"/>
          <w:b/>
          <w:color w:val="000000"/>
          <w:sz w:val="44"/>
          <w:szCs w:val="44"/>
        </w:rPr>
        <w:t>学院</w:t>
      </w:r>
      <w:r>
        <w:rPr>
          <w:rFonts w:hint="eastAsia" w:ascii="宋体" w:hAnsi="宋体" w:eastAsia="宋体"/>
          <w:b/>
          <w:color w:val="000000"/>
          <w:sz w:val="44"/>
          <w:szCs w:val="44"/>
        </w:rPr>
        <w:t>高校教师系列职称</w:t>
      </w:r>
    </w:p>
    <w:p>
      <w:pPr>
        <w:pStyle w:val="6"/>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ascii="宋体" w:hAnsi="宋体" w:eastAsia="宋体"/>
          <w:b/>
          <w:color w:val="000000"/>
          <w:sz w:val="44"/>
          <w:szCs w:val="44"/>
        </w:rPr>
      </w:pPr>
      <w:r>
        <w:rPr>
          <w:rFonts w:ascii="宋体" w:hAnsi="宋体" w:eastAsia="宋体"/>
          <w:b/>
          <w:color w:val="000000"/>
          <w:sz w:val="44"/>
          <w:szCs w:val="44"/>
        </w:rPr>
        <w:t>量化</w:t>
      </w:r>
      <w:r>
        <w:rPr>
          <w:rFonts w:hint="eastAsia" w:ascii="宋体" w:hAnsi="宋体" w:eastAsia="宋体"/>
          <w:b/>
          <w:color w:val="000000"/>
          <w:sz w:val="44"/>
          <w:szCs w:val="44"/>
          <w:lang w:val="en-US" w:eastAsia="zh-CN"/>
        </w:rPr>
        <w:t>赋分</w:t>
      </w:r>
      <w:r>
        <w:rPr>
          <w:rFonts w:hint="eastAsia" w:ascii="宋体" w:hAnsi="宋体" w:eastAsia="宋体"/>
          <w:b/>
          <w:color w:val="000000"/>
          <w:sz w:val="44"/>
          <w:szCs w:val="44"/>
        </w:rPr>
        <w:t>细则（</w:t>
      </w:r>
      <w:r>
        <w:rPr>
          <w:rFonts w:hint="eastAsia" w:ascii="宋体" w:hAnsi="宋体" w:eastAsia="宋体"/>
          <w:b/>
          <w:color w:val="000000"/>
          <w:sz w:val="44"/>
          <w:szCs w:val="44"/>
          <w:lang w:val="en-US" w:eastAsia="zh-CN"/>
        </w:rPr>
        <w:t>试行</w:t>
      </w:r>
      <w:r>
        <w:rPr>
          <w:rFonts w:hint="eastAsia" w:ascii="宋体" w:hAnsi="宋体" w:eastAsia="宋体"/>
          <w:b/>
          <w:color w:val="000000"/>
          <w:sz w:val="44"/>
          <w:szCs w:val="44"/>
        </w:rPr>
        <w:t>）</w:t>
      </w:r>
    </w:p>
    <w:p>
      <w:pPr>
        <w:pStyle w:val="6"/>
        <w:adjustRightInd w:val="0"/>
        <w:snapToGrid w:val="0"/>
        <w:spacing w:before="0" w:beforeAutospacing="0" w:after="0" w:afterAutospacing="0" w:line="300" w:lineRule="auto"/>
        <w:ind w:firstLine="640" w:firstLineChars="200"/>
        <w:rPr>
          <w:rFonts w:ascii="仿宋" w:hAnsi="仿宋" w:eastAsia="仿宋"/>
          <w:sz w:val="32"/>
          <w:szCs w:val="32"/>
        </w:rPr>
      </w:pPr>
    </w:p>
    <w:p>
      <w:pPr>
        <w:keepNext w:val="0"/>
        <w:keepLines w:val="0"/>
        <w:pageBreakBefore w:val="0"/>
        <w:kinsoku/>
        <w:wordWrap/>
        <w:overflowPunct/>
        <w:topLinePunct w:val="0"/>
        <w:autoSpaceDE/>
        <w:autoSpaceDN/>
        <w:bidi w:val="0"/>
        <w:snapToGrid w:val="0"/>
        <w:spacing w:line="560" w:lineRule="exact"/>
        <w:ind w:firstLine="640" w:firstLineChars="200"/>
        <w:contextualSpacing/>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为加强学院师资队伍建设,进一步做好职称评审工作，</w:t>
      </w:r>
      <w:r>
        <w:rPr>
          <w:rFonts w:hint="eastAsia" w:ascii="仿宋_GB2312" w:hAnsi="宋体" w:eastAsia="仿宋_GB2312" w:cs="Times New Roman"/>
          <w:color w:val="auto"/>
          <w:sz w:val="32"/>
          <w:szCs w:val="32"/>
        </w:rPr>
        <w:t>根据省人社厅《关于做好2019年职称制度改革工作的通知》（冀人社字［2019］221号）、省人社厅《关于印</w:t>
      </w:r>
      <w:r>
        <w:rPr>
          <w:rFonts w:hint="eastAsia" w:ascii="仿宋_GB2312" w:eastAsia="仿宋_GB2312" w:cs="Times New Roman"/>
          <w:color w:val="auto"/>
          <w:sz w:val="32"/>
          <w:szCs w:val="32"/>
        </w:rPr>
        <w:t>发&lt;河北省高、中级职称申报评审条件（试行）的通知&gt;》（冀人社发[2019]28号）</w:t>
      </w:r>
      <w:r>
        <w:rPr>
          <w:rFonts w:hint="eastAsia" w:ascii="仿宋_GB2312" w:hAnsi="宋体" w:eastAsia="仿宋_GB2312" w:cs="Arial"/>
          <w:color w:val="auto"/>
          <w:kern w:val="0"/>
          <w:sz w:val="32"/>
          <w:szCs w:val="32"/>
        </w:rPr>
        <w:t>文件精神</w:t>
      </w:r>
      <w:r>
        <w:rPr>
          <w:rFonts w:hint="eastAsia" w:ascii="仿宋_GB2312" w:hAnsi="宋体" w:eastAsia="仿宋_GB2312" w:cs="宋体"/>
          <w:color w:val="auto"/>
          <w:kern w:val="0"/>
          <w:sz w:val="32"/>
          <w:szCs w:val="32"/>
        </w:rPr>
        <w:t>，结合学院实际，</w:t>
      </w:r>
      <w:r>
        <w:rPr>
          <w:rFonts w:hint="eastAsia" w:ascii="仿宋_GB2312" w:hAnsi="宋体" w:eastAsia="仿宋_GB2312" w:cs="仿宋"/>
          <w:bCs/>
          <w:color w:val="auto"/>
          <w:sz w:val="32"/>
          <w:szCs w:val="32"/>
          <w:shd w:val="clear" w:color="auto" w:fill="FFFFFF"/>
        </w:rPr>
        <w:t>制定本办法。</w:t>
      </w:r>
    </w:p>
    <w:p>
      <w:pPr>
        <w:keepNext w:val="0"/>
        <w:keepLines w:val="0"/>
        <w:pageBreakBefore w:val="0"/>
        <w:kinsoku/>
        <w:wordWrap/>
        <w:overflowPunct/>
        <w:topLinePunct w:val="0"/>
        <w:autoSpaceDE/>
        <w:autoSpaceDN/>
        <w:bidi w:val="0"/>
        <w:snapToGrid w:val="0"/>
        <w:spacing w:line="560" w:lineRule="exact"/>
        <w:ind w:firstLine="640" w:firstLineChars="200"/>
        <w:contextualSpacing/>
        <w:textAlignment w:val="auto"/>
        <w:rPr>
          <w:rFonts w:ascii="黑体" w:hAnsi="黑体" w:eastAsia="黑体" w:cs="黑体"/>
          <w:color w:val="auto"/>
          <w:kern w:val="0"/>
          <w:sz w:val="32"/>
          <w:szCs w:val="32"/>
        </w:rPr>
      </w:pPr>
      <w:r>
        <w:rPr>
          <w:rFonts w:hint="eastAsia" w:ascii="黑体" w:hAnsi="黑体" w:eastAsia="黑体" w:cs="黑体"/>
          <w:color w:val="auto"/>
          <w:kern w:val="0"/>
          <w:sz w:val="32"/>
          <w:szCs w:val="32"/>
        </w:rPr>
        <w:t>一、指导思想</w:t>
      </w:r>
    </w:p>
    <w:p>
      <w:pPr>
        <w:keepNext w:val="0"/>
        <w:keepLines w:val="0"/>
        <w:pageBreakBefore w:val="0"/>
        <w:kinsoku/>
        <w:wordWrap/>
        <w:overflowPunct/>
        <w:topLinePunct w:val="0"/>
        <w:autoSpaceDE/>
        <w:autoSpaceDN/>
        <w:bidi w:val="0"/>
        <w:snapToGrid w:val="0"/>
        <w:spacing w:line="560" w:lineRule="exact"/>
        <w:ind w:firstLine="640" w:firstLineChars="200"/>
        <w:contextualSpacing/>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以习近平新时代中国特色社会主义思想为指导，贯彻落实</w:t>
      </w:r>
      <w:r>
        <w:rPr>
          <w:rFonts w:hint="eastAsia" w:ascii="仿宋_GB2312" w:hAnsi="宋体" w:eastAsia="仿宋_GB2312" w:cs="宋体"/>
          <w:color w:val="auto"/>
          <w:kern w:val="0"/>
          <w:sz w:val="32"/>
          <w:szCs w:val="32"/>
          <w:lang w:val="en-US" w:eastAsia="zh-CN"/>
        </w:rPr>
        <w:t>党的教育方针</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坚持社会主义办学方向，</w:t>
      </w:r>
      <w:r>
        <w:rPr>
          <w:rFonts w:hint="eastAsia" w:ascii="仿宋_GB2312" w:hAnsi="宋体" w:eastAsia="仿宋_GB2312" w:cs="宋体"/>
          <w:color w:val="auto"/>
          <w:kern w:val="0"/>
          <w:sz w:val="32"/>
          <w:szCs w:val="32"/>
        </w:rPr>
        <w:t>落实立德树人根本任务，充分发挥职称评审工作的激励导向作用。</w:t>
      </w:r>
      <w:r>
        <w:rPr>
          <w:rFonts w:hint="eastAsia" w:ascii="仿宋_GB2312" w:hAnsi="宋体" w:eastAsia="仿宋_GB2312" w:cs="仿宋"/>
          <w:bCs/>
          <w:color w:val="auto"/>
          <w:sz w:val="32"/>
          <w:szCs w:val="32"/>
          <w:shd w:val="clear" w:color="auto" w:fill="FFFFFF"/>
        </w:rPr>
        <w:t>完善职称分类评价标准，创新职称评价机制，</w:t>
      </w:r>
      <w:r>
        <w:rPr>
          <w:rFonts w:hint="eastAsia" w:ascii="仿宋_GB2312" w:hAnsi="宋体" w:eastAsia="仿宋_GB2312" w:cs="Arial"/>
          <w:color w:val="auto"/>
          <w:kern w:val="0"/>
          <w:sz w:val="32"/>
          <w:szCs w:val="32"/>
        </w:rPr>
        <w:t>促进学院教师队伍全面发展。</w:t>
      </w:r>
    </w:p>
    <w:p>
      <w:pPr>
        <w:pStyle w:val="6"/>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30"/>
        <w:textAlignment w:val="auto"/>
        <w:rPr>
          <w:rFonts w:ascii="黑体" w:hAnsi="黑体" w:eastAsia="黑体" w:cs="黑体"/>
          <w:color w:val="auto"/>
          <w:sz w:val="32"/>
          <w:szCs w:val="32"/>
        </w:rPr>
      </w:pPr>
      <w:r>
        <w:rPr>
          <w:rFonts w:hint="eastAsia" w:ascii="黑体" w:hAnsi="黑体" w:eastAsia="黑体" w:cs="黑体"/>
          <w:color w:val="auto"/>
          <w:sz w:val="32"/>
          <w:szCs w:val="32"/>
        </w:rPr>
        <w:t>二、评价原则</w:t>
      </w:r>
    </w:p>
    <w:p>
      <w:pPr>
        <w:keepNext w:val="0"/>
        <w:keepLines w:val="0"/>
        <w:pageBreakBefore w:val="0"/>
        <w:widowControl/>
        <w:tabs>
          <w:tab w:val="left" w:pos="7200"/>
        </w:tabs>
        <w:kinsoku/>
        <w:wordWrap/>
        <w:overflowPunct/>
        <w:topLinePunct w:val="0"/>
        <w:autoSpaceDE/>
        <w:autoSpaceDN/>
        <w:bidi w:val="0"/>
        <w:adjustRightInd w:val="0"/>
        <w:snapToGrid w:val="0"/>
        <w:spacing w:line="560" w:lineRule="exact"/>
        <w:ind w:firstLine="643" w:firstLineChars="200"/>
        <w:contextualSpacing/>
        <w:textAlignment w:val="auto"/>
        <w:rPr>
          <w:rFonts w:ascii="仿宋_GB2312" w:hAnsi="宋体" w:eastAsia="仿宋_GB2312" w:cs="仿宋"/>
          <w:bCs/>
          <w:color w:val="auto"/>
          <w:sz w:val="32"/>
          <w:szCs w:val="32"/>
          <w:shd w:val="clear" w:color="auto" w:fill="FFFFFF"/>
        </w:rPr>
      </w:pPr>
      <w:r>
        <w:rPr>
          <w:rFonts w:hint="eastAsia" w:ascii="楷体" w:hAnsi="楷体" w:eastAsia="楷体"/>
          <w:b/>
          <w:color w:val="auto"/>
          <w:sz w:val="32"/>
          <w:szCs w:val="32"/>
        </w:rPr>
        <w:t>（一）坚持党管人才原则。</w:t>
      </w:r>
      <w:r>
        <w:rPr>
          <w:rFonts w:hint="eastAsia" w:ascii="仿宋_GB2312" w:hAnsi="宋体" w:eastAsia="仿宋_GB2312" w:cs="仿宋"/>
          <w:bCs/>
          <w:color w:val="auto"/>
          <w:sz w:val="32"/>
          <w:szCs w:val="32"/>
          <w:shd w:val="clear" w:color="auto" w:fill="FFFFFF"/>
        </w:rPr>
        <w:t>切实加强学院党委对人才工作的政治引领和政治吸纳，充分发挥党组织凝聚人才、服务人才作用。</w:t>
      </w:r>
    </w:p>
    <w:p>
      <w:pPr>
        <w:keepNext w:val="0"/>
        <w:keepLines w:val="0"/>
        <w:pageBreakBefore w:val="0"/>
        <w:widowControl/>
        <w:tabs>
          <w:tab w:val="left" w:pos="7200"/>
        </w:tabs>
        <w:kinsoku/>
        <w:wordWrap/>
        <w:overflowPunct/>
        <w:topLinePunct w:val="0"/>
        <w:autoSpaceDE/>
        <w:autoSpaceDN/>
        <w:bidi w:val="0"/>
        <w:adjustRightInd w:val="0"/>
        <w:snapToGrid w:val="0"/>
        <w:spacing w:line="560" w:lineRule="exact"/>
        <w:ind w:firstLine="643" w:firstLineChars="200"/>
        <w:contextualSpacing/>
        <w:textAlignment w:val="auto"/>
        <w:rPr>
          <w:rFonts w:ascii="楷体" w:hAnsi="楷体" w:eastAsia="楷体"/>
          <w:color w:val="auto"/>
          <w:sz w:val="32"/>
          <w:szCs w:val="32"/>
        </w:rPr>
      </w:pPr>
      <w:r>
        <w:rPr>
          <w:rFonts w:hint="eastAsia" w:ascii="楷体" w:hAnsi="楷体" w:eastAsia="楷体"/>
          <w:b/>
          <w:color w:val="auto"/>
          <w:sz w:val="32"/>
          <w:szCs w:val="32"/>
        </w:rPr>
        <w:t>（二）坚持公平公正原则。</w:t>
      </w:r>
      <w:r>
        <w:rPr>
          <w:rFonts w:hint="eastAsia" w:ascii="仿宋_GB2312" w:hAnsi="宋体" w:eastAsia="仿宋_GB2312" w:cs="宋体"/>
          <w:color w:val="auto"/>
          <w:kern w:val="0"/>
          <w:sz w:val="32"/>
          <w:szCs w:val="32"/>
        </w:rPr>
        <w:t>实行量化评审应坚持民主公开，按照职称申报系列进行分类排序。严格评审程序，做到层层把关、层层落实，确保量化评审结果客观公平公正。</w:t>
      </w:r>
    </w:p>
    <w:p>
      <w:pPr>
        <w:keepNext w:val="0"/>
        <w:keepLines w:val="0"/>
        <w:pageBreakBefore w:val="0"/>
        <w:widowControl/>
        <w:tabs>
          <w:tab w:val="left" w:pos="7200"/>
        </w:tabs>
        <w:kinsoku/>
        <w:wordWrap/>
        <w:overflowPunct/>
        <w:topLinePunct w:val="0"/>
        <w:autoSpaceDE/>
        <w:autoSpaceDN/>
        <w:bidi w:val="0"/>
        <w:adjustRightInd w:val="0"/>
        <w:snapToGrid w:val="0"/>
        <w:spacing w:line="560" w:lineRule="exact"/>
        <w:ind w:firstLine="643" w:firstLineChars="200"/>
        <w:contextualSpacing/>
        <w:textAlignment w:val="auto"/>
        <w:rPr>
          <w:rFonts w:hint="eastAsia" w:ascii="仿宋_GB2312" w:hAnsi="宋体" w:eastAsia="仿宋_GB2312" w:cs="宋体"/>
          <w:color w:val="auto"/>
          <w:kern w:val="0"/>
          <w:sz w:val="32"/>
          <w:szCs w:val="32"/>
        </w:rPr>
      </w:pPr>
      <w:r>
        <w:rPr>
          <w:rFonts w:hint="eastAsia" w:ascii="楷体" w:hAnsi="楷体" w:eastAsia="楷体"/>
          <w:b/>
          <w:color w:val="auto"/>
          <w:sz w:val="32"/>
          <w:szCs w:val="32"/>
        </w:rPr>
        <w:t>（三）坚持业绩导向原则。</w:t>
      </w:r>
      <w:r>
        <w:rPr>
          <w:rFonts w:hint="eastAsia" w:ascii="仿宋_GB2312" w:hAnsi="宋体" w:eastAsia="仿宋_GB2312" w:cs="宋体"/>
          <w:color w:val="auto"/>
          <w:kern w:val="0"/>
          <w:sz w:val="32"/>
          <w:szCs w:val="32"/>
        </w:rPr>
        <w:t>实行量化评审</w:t>
      </w:r>
      <w:r>
        <w:rPr>
          <w:rFonts w:hint="eastAsia" w:ascii="仿宋_GB2312" w:hAnsi="宋体" w:eastAsia="仿宋_GB2312" w:cs="宋体"/>
          <w:color w:val="auto"/>
          <w:kern w:val="0"/>
          <w:sz w:val="32"/>
          <w:szCs w:val="32"/>
          <w:lang w:val="en-US" w:eastAsia="zh-CN"/>
        </w:rPr>
        <w:t>要克服“四唯”倾向，根据各专业、各层次参评人员特点，</w:t>
      </w:r>
      <w:r>
        <w:rPr>
          <w:rFonts w:hint="eastAsia" w:ascii="仿宋_GB2312" w:hAnsi="宋体" w:eastAsia="仿宋_GB2312" w:cs="宋体"/>
          <w:color w:val="auto"/>
          <w:kern w:val="0"/>
          <w:sz w:val="32"/>
          <w:szCs w:val="32"/>
        </w:rPr>
        <w:t>主要考核履职情况，重点考核</w:t>
      </w:r>
      <w:r>
        <w:rPr>
          <w:rFonts w:hint="eastAsia" w:ascii="仿宋_GB2312" w:hAnsi="宋体" w:eastAsia="仿宋_GB2312" w:cs="宋体"/>
          <w:color w:val="auto"/>
          <w:kern w:val="0"/>
          <w:sz w:val="32"/>
          <w:szCs w:val="32"/>
          <w:lang w:val="en-US" w:eastAsia="zh-CN"/>
        </w:rPr>
        <w:t>品德、专业能力、水平和</w:t>
      </w:r>
      <w:r>
        <w:rPr>
          <w:rFonts w:hint="eastAsia" w:ascii="仿宋_GB2312" w:hAnsi="宋体" w:eastAsia="仿宋_GB2312" w:cs="宋体"/>
          <w:color w:val="auto"/>
          <w:kern w:val="0"/>
          <w:sz w:val="32"/>
          <w:szCs w:val="32"/>
        </w:rPr>
        <w:t>工作实绩。根据职称申报的系列和晋升层次制定相关指标和分值，全面考核，定量评价。</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宋体"/>
          <w:bCs/>
          <w:color w:val="auto"/>
          <w:kern w:val="0"/>
          <w:sz w:val="32"/>
          <w:szCs w:val="32"/>
        </w:rPr>
      </w:pPr>
      <w:r>
        <w:rPr>
          <w:rFonts w:hint="eastAsia" w:ascii="黑体" w:hAnsi="黑体" w:eastAsia="黑体" w:cs="宋体"/>
          <w:bCs/>
          <w:color w:val="auto"/>
          <w:kern w:val="0"/>
          <w:sz w:val="32"/>
          <w:szCs w:val="32"/>
          <w:lang w:val="en-US" w:eastAsia="zh-CN"/>
        </w:rPr>
        <w:t>三</w:t>
      </w:r>
      <w:r>
        <w:rPr>
          <w:rFonts w:hint="eastAsia" w:ascii="黑体" w:hAnsi="黑体" w:eastAsia="黑体" w:cs="宋体"/>
          <w:bCs/>
          <w:color w:val="auto"/>
          <w:kern w:val="0"/>
          <w:sz w:val="32"/>
          <w:szCs w:val="32"/>
        </w:rPr>
        <w:t>、量化标准体系</w:t>
      </w:r>
    </w:p>
    <w:p>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ascii="楷体" w:hAnsi="楷体" w:eastAsia="楷体"/>
          <w:b/>
          <w:color w:val="auto"/>
          <w:sz w:val="32"/>
          <w:szCs w:val="32"/>
        </w:rPr>
      </w:pPr>
      <w:r>
        <w:rPr>
          <w:rFonts w:hint="eastAsia" w:ascii="楷体" w:hAnsi="楷体" w:eastAsia="楷体"/>
          <w:b/>
          <w:color w:val="auto"/>
          <w:sz w:val="32"/>
          <w:szCs w:val="32"/>
        </w:rPr>
        <w:t>（一）</w:t>
      </w:r>
      <w:r>
        <w:rPr>
          <w:rFonts w:hint="eastAsia" w:ascii="仿宋" w:hAnsi="仿宋" w:eastAsia="仿宋"/>
          <w:b/>
          <w:color w:val="auto"/>
          <w:sz w:val="30"/>
        </w:rPr>
        <w:t>教学工作量</w:t>
      </w:r>
    </w:p>
    <w:p>
      <w:pPr>
        <w:keepNext w:val="0"/>
        <w:keepLines w:val="0"/>
        <w:pageBreakBefore w:val="0"/>
        <w:kinsoku/>
        <w:wordWrap/>
        <w:overflowPunct/>
        <w:topLinePunct w:val="0"/>
        <w:autoSpaceDE/>
        <w:autoSpaceDN/>
        <w:bidi w:val="0"/>
        <w:snapToGrid w:val="0"/>
        <w:spacing w:line="560" w:lineRule="exact"/>
        <w:ind w:firstLine="643" w:firstLineChars="200"/>
        <w:textAlignment w:val="auto"/>
        <w:rPr>
          <w:rFonts w:hint="eastAsia"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1）专任教师（20分）</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近5学年（以评审年度7月</w:t>
      </w:r>
      <w:r>
        <w:rPr>
          <w:rFonts w:hint="eastAsia" w:ascii="仿宋_GB2312" w:hAnsi="宋体" w:eastAsia="仿宋_GB2312" w:cs="宋体"/>
          <w:color w:val="auto"/>
          <w:kern w:val="0"/>
          <w:sz w:val="32"/>
          <w:szCs w:val="32"/>
          <w:lang w:val="en-US" w:eastAsia="zh-CN"/>
        </w:rPr>
        <w:t>15</w:t>
      </w:r>
      <w:r>
        <w:rPr>
          <w:rFonts w:hint="eastAsia" w:ascii="仿宋_GB2312" w:hAnsi="宋体" w:eastAsia="仿宋_GB2312" w:cs="宋体"/>
          <w:color w:val="auto"/>
          <w:kern w:val="0"/>
          <w:sz w:val="32"/>
          <w:szCs w:val="32"/>
        </w:rPr>
        <w:t>日为结点），平均每学年达到</w:t>
      </w:r>
      <w:r>
        <w:rPr>
          <w:rFonts w:hint="eastAsia" w:ascii="仿宋_GB2312" w:hAnsi="宋体" w:eastAsia="仿宋_GB2312" w:cs="宋体"/>
          <w:color w:val="auto"/>
          <w:kern w:val="0"/>
          <w:sz w:val="32"/>
          <w:szCs w:val="32"/>
          <w:lang w:val="en-US" w:eastAsia="zh-CN"/>
        </w:rPr>
        <w:t>360</w:t>
      </w:r>
      <w:r>
        <w:rPr>
          <w:rFonts w:hint="eastAsia" w:ascii="仿宋_GB2312" w:hAnsi="宋体" w:eastAsia="仿宋_GB2312" w:cs="宋体"/>
          <w:color w:val="auto"/>
          <w:kern w:val="0"/>
          <w:sz w:val="32"/>
          <w:szCs w:val="32"/>
        </w:rPr>
        <w:t>课时计</w:t>
      </w:r>
      <w:r>
        <w:rPr>
          <w:rFonts w:hint="eastAsia" w:ascii="仿宋_GB2312" w:hAnsi="宋体" w:eastAsia="仿宋_GB2312" w:cs="宋体"/>
          <w:color w:val="auto"/>
          <w:kern w:val="0"/>
          <w:sz w:val="32"/>
          <w:szCs w:val="32"/>
          <w:lang w:val="en-US" w:eastAsia="zh-CN"/>
        </w:rPr>
        <w:t>12</w:t>
      </w:r>
      <w:r>
        <w:rPr>
          <w:rFonts w:hint="eastAsia" w:ascii="仿宋_GB2312" w:hAnsi="宋体" w:eastAsia="仿宋_GB2312" w:cs="宋体"/>
          <w:color w:val="auto"/>
          <w:kern w:val="0"/>
          <w:sz w:val="32"/>
          <w:szCs w:val="32"/>
        </w:rPr>
        <w:t>分，每超过</w:t>
      </w:r>
      <w:r>
        <w:rPr>
          <w:rFonts w:hint="eastAsia" w:ascii="仿宋_GB2312" w:hAnsi="宋体" w:eastAsia="仿宋_GB2312" w:cs="宋体"/>
          <w:color w:val="auto"/>
          <w:kern w:val="0"/>
          <w:sz w:val="32"/>
          <w:szCs w:val="32"/>
          <w:lang w:val="en-US" w:eastAsia="zh-CN"/>
        </w:rPr>
        <w:t>12</w:t>
      </w:r>
      <w:r>
        <w:rPr>
          <w:rFonts w:hint="eastAsia" w:ascii="仿宋_GB2312" w:hAnsi="宋体" w:eastAsia="仿宋_GB2312" w:cs="宋体"/>
          <w:color w:val="auto"/>
          <w:kern w:val="0"/>
          <w:sz w:val="32"/>
          <w:szCs w:val="32"/>
        </w:rPr>
        <w:t>课时加0.1分，计算公式为：</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教学工作量得分=（近5学年教学工作总量-</w:t>
      </w:r>
      <w:r>
        <w:rPr>
          <w:rFonts w:hint="eastAsia" w:ascii="仿宋_GB2312" w:hAnsi="宋体" w:eastAsia="仿宋_GB2312" w:cs="宋体"/>
          <w:color w:val="auto"/>
          <w:kern w:val="0"/>
          <w:sz w:val="32"/>
          <w:szCs w:val="32"/>
          <w:lang w:val="en-US" w:eastAsia="zh-CN"/>
        </w:rPr>
        <w:t>360</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12</w:t>
      </w:r>
      <w:r>
        <w:rPr>
          <w:rFonts w:hint="eastAsia" w:ascii="仿宋_GB2312" w:hAnsi="宋体" w:eastAsia="仿宋_GB2312" w:cs="宋体"/>
          <w:color w:val="auto"/>
          <w:kern w:val="0"/>
          <w:sz w:val="32"/>
          <w:szCs w:val="32"/>
        </w:rPr>
        <w:t>×0.1+1</w:t>
      </w:r>
      <w:r>
        <w:rPr>
          <w:rFonts w:hint="eastAsia" w:ascii="仿宋_GB2312" w:hAnsi="宋体" w:eastAsia="仿宋_GB2312" w:cs="宋体"/>
          <w:color w:val="auto"/>
          <w:kern w:val="0"/>
          <w:sz w:val="32"/>
          <w:szCs w:val="32"/>
          <w:lang w:val="en-US" w:eastAsia="zh-CN"/>
        </w:rPr>
        <w:t>2</w:t>
      </w:r>
    </w:p>
    <w:p>
      <w:pPr>
        <w:keepNext w:val="0"/>
        <w:keepLines w:val="0"/>
        <w:pageBreakBefore w:val="0"/>
        <w:kinsoku/>
        <w:wordWrap/>
        <w:overflowPunct/>
        <w:topLinePunct w:val="0"/>
        <w:autoSpaceDE/>
        <w:autoSpaceDN/>
        <w:bidi w:val="0"/>
        <w:snapToGrid w:val="0"/>
        <w:spacing w:line="560" w:lineRule="exact"/>
        <w:ind w:firstLine="643" w:firstLineChars="200"/>
        <w:textAlignment w:val="auto"/>
        <w:rPr>
          <w:rFonts w:hint="eastAsia" w:ascii="仿宋_GB2312" w:hAnsi="宋体" w:eastAsia="仿宋_GB2312" w:cs="宋体"/>
          <w:b/>
          <w:bCs/>
          <w:color w:val="auto"/>
          <w:kern w:val="0"/>
          <w:sz w:val="32"/>
          <w:szCs w:val="32"/>
          <w:lang w:val="en-US" w:eastAsia="zh-CN"/>
        </w:rPr>
      </w:pPr>
      <w:r>
        <w:rPr>
          <w:rFonts w:hint="eastAsia" w:ascii="仿宋_GB2312" w:hAnsi="宋体" w:eastAsia="仿宋_GB2312" w:cs="宋体"/>
          <w:b/>
          <w:bCs/>
          <w:color w:val="auto"/>
          <w:kern w:val="0"/>
          <w:sz w:val="32"/>
          <w:szCs w:val="32"/>
        </w:rPr>
        <w:t>2）兼任教师（</w:t>
      </w:r>
      <w:r>
        <w:rPr>
          <w:rFonts w:hint="eastAsia" w:ascii="仿宋_GB2312" w:hAnsi="宋体" w:eastAsia="仿宋_GB2312" w:cs="宋体"/>
          <w:b/>
          <w:bCs/>
          <w:color w:val="auto"/>
          <w:kern w:val="0"/>
          <w:sz w:val="32"/>
          <w:szCs w:val="32"/>
          <w:lang w:val="en-US" w:eastAsia="zh-CN"/>
        </w:rPr>
        <w:t>18</w:t>
      </w:r>
      <w:r>
        <w:rPr>
          <w:rFonts w:hint="eastAsia" w:ascii="仿宋_GB2312" w:hAnsi="宋体" w:eastAsia="仿宋_GB2312" w:cs="宋体"/>
          <w:b/>
          <w:bCs/>
          <w:color w:val="auto"/>
          <w:kern w:val="0"/>
          <w:sz w:val="32"/>
          <w:szCs w:val="32"/>
        </w:rPr>
        <w:t>分）</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近5学年（以评审年度7月</w:t>
      </w:r>
      <w:r>
        <w:rPr>
          <w:rFonts w:hint="eastAsia" w:ascii="仿宋_GB2312" w:hAnsi="宋体" w:eastAsia="仿宋_GB2312" w:cs="宋体"/>
          <w:color w:val="auto"/>
          <w:kern w:val="0"/>
          <w:sz w:val="32"/>
          <w:szCs w:val="32"/>
          <w:lang w:val="en-US" w:eastAsia="zh-CN"/>
        </w:rPr>
        <w:t>15</w:t>
      </w:r>
      <w:r>
        <w:rPr>
          <w:rFonts w:hint="eastAsia" w:ascii="仿宋_GB2312" w:hAnsi="宋体" w:eastAsia="仿宋_GB2312" w:cs="宋体"/>
          <w:color w:val="auto"/>
          <w:kern w:val="0"/>
          <w:sz w:val="32"/>
          <w:szCs w:val="32"/>
        </w:rPr>
        <w:t>日为结点），平均每学年达到</w:t>
      </w:r>
      <w:r>
        <w:rPr>
          <w:rFonts w:hint="eastAsia" w:ascii="仿宋_GB2312" w:hAnsi="宋体" w:eastAsia="仿宋_GB2312" w:cs="宋体"/>
          <w:color w:val="auto"/>
          <w:kern w:val="0"/>
          <w:sz w:val="32"/>
          <w:szCs w:val="32"/>
          <w:lang w:val="en-US" w:eastAsia="zh-CN"/>
        </w:rPr>
        <w:t>72</w:t>
      </w:r>
      <w:r>
        <w:rPr>
          <w:rFonts w:hint="eastAsia" w:ascii="仿宋_GB2312" w:hAnsi="宋体" w:eastAsia="仿宋_GB2312" w:cs="宋体"/>
          <w:color w:val="auto"/>
          <w:kern w:val="0"/>
          <w:sz w:val="32"/>
          <w:szCs w:val="32"/>
        </w:rPr>
        <w:t>课时计</w:t>
      </w:r>
      <w:r>
        <w:rPr>
          <w:rFonts w:hint="eastAsia" w:ascii="仿宋_GB2312" w:hAnsi="宋体" w:eastAsia="仿宋_GB2312" w:cs="宋体"/>
          <w:color w:val="auto"/>
          <w:kern w:val="0"/>
          <w:sz w:val="32"/>
          <w:szCs w:val="32"/>
          <w:lang w:val="en-US" w:eastAsia="zh-CN"/>
        </w:rPr>
        <w:t>12</w:t>
      </w:r>
      <w:r>
        <w:rPr>
          <w:rFonts w:hint="eastAsia" w:ascii="仿宋_GB2312" w:hAnsi="宋体" w:eastAsia="仿宋_GB2312" w:cs="宋体"/>
          <w:color w:val="auto"/>
          <w:kern w:val="0"/>
          <w:sz w:val="32"/>
          <w:szCs w:val="32"/>
        </w:rPr>
        <w:t>分，每超</w:t>
      </w:r>
      <w:r>
        <w:rPr>
          <w:rFonts w:hint="eastAsia" w:ascii="仿宋_GB2312" w:hAnsi="宋体" w:eastAsia="仿宋_GB2312" w:cs="宋体"/>
          <w:color w:val="auto"/>
          <w:kern w:val="0"/>
          <w:sz w:val="32"/>
          <w:szCs w:val="32"/>
          <w:lang w:eastAsia="zh-CN"/>
        </w:rPr>
        <w:t>过</w:t>
      </w:r>
      <w:r>
        <w:rPr>
          <w:rFonts w:hint="eastAsia" w:ascii="仿宋_GB2312" w:hAnsi="宋体" w:eastAsia="仿宋_GB2312" w:cs="宋体"/>
          <w:color w:val="auto"/>
          <w:kern w:val="0"/>
          <w:sz w:val="32"/>
          <w:szCs w:val="32"/>
          <w:lang w:val="en-US" w:eastAsia="zh-CN"/>
        </w:rPr>
        <w:t>6</w:t>
      </w:r>
      <w:r>
        <w:rPr>
          <w:rFonts w:hint="eastAsia" w:ascii="仿宋_GB2312" w:hAnsi="宋体" w:eastAsia="仿宋_GB2312" w:cs="宋体"/>
          <w:color w:val="auto"/>
          <w:kern w:val="0"/>
          <w:sz w:val="32"/>
          <w:szCs w:val="32"/>
        </w:rPr>
        <w:t>课时加0.1分，计算公式为：</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rPr>
        <w:t>教学工作量得分=（近5学年教学工作总量-</w:t>
      </w:r>
      <w:r>
        <w:rPr>
          <w:rFonts w:hint="eastAsia" w:ascii="仿宋_GB2312" w:hAnsi="宋体" w:eastAsia="仿宋_GB2312" w:cs="宋体"/>
          <w:color w:val="auto"/>
          <w:kern w:val="0"/>
          <w:sz w:val="32"/>
          <w:szCs w:val="32"/>
          <w:lang w:val="en-US" w:eastAsia="zh-CN"/>
        </w:rPr>
        <w:t>72</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6</w:t>
      </w:r>
      <w:r>
        <w:rPr>
          <w:rFonts w:hint="eastAsia" w:ascii="仿宋_GB2312" w:hAnsi="宋体" w:eastAsia="仿宋_GB2312" w:cs="宋体"/>
          <w:color w:val="auto"/>
          <w:kern w:val="0"/>
          <w:sz w:val="32"/>
          <w:szCs w:val="32"/>
        </w:rPr>
        <w:t>×0.1+1</w:t>
      </w:r>
      <w:r>
        <w:rPr>
          <w:rFonts w:hint="eastAsia" w:ascii="仿宋_GB2312" w:hAnsi="宋体" w:eastAsia="仿宋_GB2312" w:cs="宋体"/>
          <w:color w:val="auto"/>
          <w:kern w:val="0"/>
          <w:sz w:val="32"/>
          <w:szCs w:val="32"/>
          <w:lang w:val="en-US" w:eastAsia="zh-CN"/>
        </w:rPr>
        <w:t>2</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注：</w:t>
      </w:r>
    </w:p>
    <w:p>
      <w:pPr>
        <w:keepNext w:val="0"/>
        <w:keepLines w:val="0"/>
        <w:pageBreakBefore w:val="0"/>
        <w:numPr>
          <w:ilvl w:val="0"/>
          <w:numId w:val="0"/>
        </w:numPr>
        <w:kinsoku/>
        <w:wordWrap/>
        <w:overflowPunct/>
        <w:topLinePunct w:val="0"/>
        <w:autoSpaceDE/>
        <w:autoSpaceDN/>
        <w:bidi w:val="0"/>
        <w:snapToGrid w:val="0"/>
        <w:spacing w:line="560" w:lineRule="exact"/>
        <w:ind w:firstLine="640" w:firstLineChars="20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1）专任教师，指系部专门从事教学工作、享受教师岗位津贴的教师；兼任教师，指专任教师以外的承担教学任务的在职教师。</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教学工作量包括授课、讲座及培训，以教务</w:t>
      </w:r>
      <w:r>
        <w:rPr>
          <w:rFonts w:hint="eastAsia" w:ascii="仿宋_GB2312" w:hAnsi="宋体" w:eastAsia="仿宋_GB2312" w:cs="宋体"/>
          <w:color w:val="auto"/>
          <w:kern w:val="0"/>
          <w:sz w:val="32"/>
          <w:szCs w:val="32"/>
          <w:lang w:val="en-US" w:eastAsia="zh-CN"/>
        </w:rPr>
        <w:t>处</w:t>
      </w:r>
      <w:r>
        <w:rPr>
          <w:rFonts w:hint="eastAsia" w:ascii="仿宋_GB2312" w:hAnsi="宋体" w:eastAsia="仿宋_GB2312" w:cs="宋体"/>
          <w:color w:val="auto"/>
          <w:kern w:val="0"/>
          <w:sz w:val="32"/>
          <w:szCs w:val="32"/>
        </w:rPr>
        <w:t>备案为准</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由教务处统一审核认定</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讲座、培训课时是指正式列入学校安排计划的主题校会、德育讲座、实践周主题教育、主题系会、教师校本培训等发生的课时</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此项课时按实际课时×系数计算（系数=1+n×0.2，n为听课班级数，</w:t>
      </w:r>
      <w:r>
        <w:rPr>
          <w:rFonts w:hint="eastAsia" w:ascii="仿宋_GB2312" w:hAnsi="宋体" w:eastAsia="仿宋_GB2312" w:cs="宋体"/>
          <w:color w:val="auto"/>
          <w:kern w:val="0"/>
          <w:sz w:val="32"/>
          <w:szCs w:val="32"/>
          <w:lang w:val="en-US" w:eastAsia="zh-CN"/>
        </w:rPr>
        <w:t>n=总人数/35，</w:t>
      </w:r>
      <w:r>
        <w:rPr>
          <w:rFonts w:hint="eastAsia" w:ascii="仿宋_GB2312" w:hAnsi="宋体" w:eastAsia="仿宋_GB2312" w:cs="宋体"/>
          <w:color w:val="auto"/>
          <w:kern w:val="0"/>
          <w:sz w:val="32"/>
          <w:szCs w:val="32"/>
        </w:rPr>
        <w:t>n＞1），由活动的组织部门提供，出具相关证明，部门主要负责人审核签字，并经教务统一核实认定</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担任</w:t>
      </w:r>
      <w:r>
        <w:rPr>
          <w:rFonts w:hint="eastAsia" w:ascii="仿宋_GB2312" w:hAnsi="宋体" w:eastAsia="仿宋_GB2312" w:cs="宋体"/>
          <w:color w:val="auto"/>
          <w:kern w:val="0"/>
          <w:sz w:val="32"/>
          <w:szCs w:val="32"/>
          <w:lang w:val="en-US" w:eastAsia="zh-CN"/>
        </w:rPr>
        <w:t>职业</w:t>
      </w:r>
      <w:r>
        <w:rPr>
          <w:rFonts w:hint="eastAsia" w:ascii="仿宋_GB2312" w:hAnsi="宋体" w:eastAsia="仿宋_GB2312" w:cs="宋体"/>
          <w:color w:val="auto"/>
          <w:kern w:val="0"/>
          <w:sz w:val="32"/>
          <w:szCs w:val="32"/>
        </w:rPr>
        <w:t>培训</w:t>
      </w:r>
      <w:r>
        <w:rPr>
          <w:rFonts w:hint="eastAsia" w:ascii="仿宋_GB2312" w:hAnsi="宋体" w:eastAsia="仿宋_GB2312" w:cs="宋体"/>
          <w:color w:val="auto"/>
          <w:kern w:val="0"/>
          <w:sz w:val="32"/>
          <w:szCs w:val="32"/>
          <w:lang w:val="en-US" w:eastAsia="zh-CN"/>
        </w:rPr>
        <w:t>、教师</w:t>
      </w:r>
      <w:r>
        <w:rPr>
          <w:rFonts w:hint="eastAsia" w:ascii="仿宋_GB2312" w:hAnsi="宋体" w:eastAsia="仿宋_GB2312" w:cs="宋体"/>
          <w:color w:val="auto"/>
          <w:kern w:val="0"/>
          <w:sz w:val="32"/>
          <w:szCs w:val="32"/>
        </w:rPr>
        <w:t>培训课时按实际课时计算，</w:t>
      </w:r>
      <w:r>
        <w:rPr>
          <w:rFonts w:hint="eastAsia" w:ascii="仿宋_GB2312" w:hAnsi="宋体" w:eastAsia="仿宋_GB2312" w:cs="宋体"/>
          <w:color w:val="auto"/>
          <w:kern w:val="0"/>
          <w:sz w:val="32"/>
          <w:szCs w:val="32"/>
          <w:lang w:val="en-US" w:eastAsia="zh-CN"/>
        </w:rPr>
        <w:t>由教务处根据</w:t>
      </w:r>
      <w:r>
        <w:rPr>
          <w:rFonts w:hint="eastAsia" w:ascii="仿宋_GB2312" w:hAnsi="宋体" w:eastAsia="仿宋_GB2312" w:cs="宋体"/>
          <w:color w:val="auto"/>
          <w:kern w:val="0"/>
          <w:sz w:val="32"/>
          <w:szCs w:val="32"/>
        </w:rPr>
        <w:t>培训主管部门</w:t>
      </w:r>
      <w:r>
        <w:rPr>
          <w:rFonts w:hint="eastAsia" w:ascii="仿宋_GB2312" w:hAnsi="宋体" w:eastAsia="仿宋_GB2312" w:cs="宋体"/>
          <w:color w:val="auto"/>
          <w:kern w:val="0"/>
          <w:sz w:val="32"/>
          <w:szCs w:val="32"/>
          <w:lang w:val="en-US" w:eastAsia="zh-CN"/>
        </w:rPr>
        <w:t>上报的培训方案认定课时</w:t>
      </w:r>
      <w:r>
        <w:rPr>
          <w:rFonts w:hint="eastAsia" w:ascii="仿宋_GB2312" w:hAnsi="宋体" w:eastAsia="仿宋_GB2312" w:cs="宋体"/>
          <w:color w:val="auto"/>
          <w:kern w:val="0"/>
          <w:sz w:val="32"/>
          <w:szCs w:val="32"/>
        </w:rPr>
        <w:t>；计入课表的二课和社团的课时按实际发生课时计算，</w:t>
      </w:r>
      <w:r>
        <w:rPr>
          <w:rFonts w:hint="eastAsia" w:ascii="仿宋_GB2312" w:hAnsi="宋体" w:eastAsia="仿宋_GB2312" w:cs="宋体"/>
          <w:color w:val="auto"/>
          <w:kern w:val="0"/>
          <w:sz w:val="32"/>
          <w:szCs w:val="32"/>
          <w:lang w:val="en-US" w:eastAsia="zh-CN"/>
        </w:rPr>
        <w:t>由</w:t>
      </w:r>
      <w:r>
        <w:rPr>
          <w:rFonts w:hint="eastAsia" w:ascii="仿宋_GB2312" w:hAnsi="宋体" w:eastAsia="仿宋_GB2312" w:cs="宋体"/>
          <w:color w:val="auto"/>
          <w:kern w:val="0"/>
          <w:sz w:val="32"/>
          <w:szCs w:val="32"/>
        </w:rPr>
        <w:t>教务处</w:t>
      </w:r>
      <w:r>
        <w:rPr>
          <w:rFonts w:hint="eastAsia" w:ascii="仿宋_GB2312" w:hAnsi="宋体" w:eastAsia="仿宋_GB2312" w:cs="宋体"/>
          <w:color w:val="auto"/>
          <w:kern w:val="0"/>
          <w:sz w:val="32"/>
          <w:szCs w:val="32"/>
          <w:lang w:val="en-US" w:eastAsia="zh-CN"/>
        </w:rPr>
        <w:t>根据课表进行认定</w:t>
      </w:r>
      <w:r>
        <w:rPr>
          <w:rFonts w:hint="eastAsia" w:ascii="仿宋_GB2312" w:hAnsi="宋体" w:eastAsia="仿宋_GB2312" w:cs="宋体"/>
          <w:color w:val="auto"/>
          <w:kern w:val="0"/>
          <w:sz w:val="32"/>
          <w:szCs w:val="32"/>
        </w:rPr>
        <w:t>，教务处长审核签字</w:t>
      </w:r>
      <w:r>
        <w:rPr>
          <w:rFonts w:hint="eastAsia" w:ascii="仿宋_GB2312" w:hAnsi="宋体" w:eastAsia="仿宋_GB2312" w:cs="宋体"/>
          <w:color w:val="auto"/>
          <w:kern w:val="0"/>
          <w:sz w:val="32"/>
          <w:szCs w:val="32"/>
          <w:lang w:eastAsia="zh-CN"/>
        </w:rPr>
        <w:t>。</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 xml:space="preserve">3）参加学校的公派、借调等人员，外出期间专任教师工作量按照360课时/学年计算，兼任教师工作量按照72课时/学年计算，由派出部门出具证明材料，不足1学年的按照1学年36周的比例计算课时，不足1个月的不计算课时。              </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）其他单位调入人员，调入前</w:t>
      </w:r>
      <w:r>
        <w:rPr>
          <w:rFonts w:hint="eastAsia" w:ascii="仿宋_GB2312" w:hAnsi="宋体" w:eastAsia="仿宋_GB2312" w:cs="宋体"/>
          <w:color w:val="auto"/>
          <w:kern w:val="0"/>
          <w:sz w:val="32"/>
          <w:szCs w:val="32"/>
          <w:lang w:eastAsia="zh-CN"/>
        </w:rPr>
        <w:t>为专任教师的</w:t>
      </w:r>
      <w:r>
        <w:rPr>
          <w:rFonts w:hint="eastAsia" w:ascii="仿宋_GB2312" w:hAnsi="宋体" w:eastAsia="仿宋_GB2312" w:cs="宋体"/>
          <w:color w:val="auto"/>
          <w:kern w:val="0"/>
          <w:sz w:val="32"/>
          <w:szCs w:val="32"/>
        </w:rPr>
        <w:t>工作量按</w:t>
      </w:r>
      <w:r>
        <w:rPr>
          <w:rFonts w:ascii="仿宋_GB2312" w:hAnsi="宋体" w:eastAsia="仿宋_GB2312" w:cs="宋体"/>
          <w:color w:val="auto"/>
          <w:kern w:val="0"/>
          <w:sz w:val="32"/>
          <w:szCs w:val="32"/>
        </w:rPr>
        <w:t>3</w:t>
      </w:r>
      <w:r>
        <w:rPr>
          <w:rFonts w:hint="eastAsia" w:ascii="仿宋_GB2312" w:hAnsi="宋体" w:eastAsia="仿宋_GB2312" w:cs="宋体"/>
          <w:color w:val="auto"/>
          <w:kern w:val="0"/>
          <w:sz w:val="32"/>
          <w:szCs w:val="32"/>
        </w:rPr>
        <w:t>6</w:t>
      </w:r>
      <w:r>
        <w:rPr>
          <w:rFonts w:ascii="仿宋_GB2312" w:hAnsi="宋体" w:eastAsia="仿宋_GB2312" w:cs="宋体"/>
          <w:color w:val="auto"/>
          <w:kern w:val="0"/>
          <w:sz w:val="32"/>
          <w:szCs w:val="32"/>
        </w:rPr>
        <w:t>0</w:t>
      </w:r>
      <w:r>
        <w:rPr>
          <w:rFonts w:hint="eastAsia" w:ascii="仿宋_GB2312" w:hAnsi="宋体" w:eastAsia="仿宋_GB2312" w:cs="宋体"/>
          <w:color w:val="auto"/>
          <w:kern w:val="0"/>
          <w:sz w:val="32"/>
          <w:szCs w:val="32"/>
        </w:rPr>
        <w:t>课时</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学年计</w:t>
      </w:r>
      <w:r>
        <w:rPr>
          <w:rFonts w:hint="eastAsia" w:ascii="仿宋_GB2312" w:hAnsi="宋体" w:eastAsia="仿宋_GB2312" w:cs="宋体"/>
          <w:color w:val="auto"/>
          <w:kern w:val="0"/>
          <w:sz w:val="32"/>
          <w:szCs w:val="32"/>
          <w:lang w:val="en-US" w:eastAsia="zh-CN"/>
        </w:rPr>
        <w:t>算</w:t>
      </w:r>
      <w:r>
        <w:rPr>
          <w:rFonts w:hint="eastAsia" w:ascii="仿宋_GB2312" w:hAnsi="宋体" w:eastAsia="仿宋_GB2312" w:cs="宋体"/>
          <w:color w:val="auto"/>
          <w:kern w:val="0"/>
          <w:sz w:val="32"/>
          <w:szCs w:val="32"/>
          <w:lang w:eastAsia="zh-CN"/>
        </w:rPr>
        <w:t>，调入前为非专任教师的工作量按</w:t>
      </w:r>
      <w:r>
        <w:rPr>
          <w:rFonts w:hint="eastAsia" w:ascii="仿宋_GB2312" w:hAnsi="宋体" w:eastAsia="仿宋_GB2312" w:cs="宋体"/>
          <w:color w:val="auto"/>
          <w:kern w:val="0"/>
          <w:sz w:val="32"/>
          <w:szCs w:val="32"/>
          <w:lang w:val="en-US" w:eastAsia="zh-CN"/>
        </w:rPr>
        <w:t>72</w:t>
      </w:r>
      <w:r>
        <w:rPr>
          <w:rFonts w:hint="eastAsia" w:ascii="仿宋_GB2312" w:hAnsi="宋体" w:eastAsia="仿宋_GB2312" w:cs="宋体"/>
          <w:color w:val="auto"/>
          <w:kern w:val="0"/>
          <w:sz w:val="32"/>
          <w:szCs w:val="32"/>
        </w:rPr>
        <w:t>课时</w:t>
      </w:r>
      <w:r>
        <w:rPr>
          <w:rFonts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rPr>
        <w:t>学年计算。</w:t>
      </w:r>
    </w:p>
    <w:p>
      <w:pPr>
        <w:keepNext w:val="0"/>
        <w:keepLines w:val="0"/>
        <w:pageBreakBefore w:val="0"/>
        <w:kinsoku/>
        <w:wordWrap/>
        <w:overflowPunct/>
        <w:topLinePunct w:val="0"/>
        <w:autoSpaceDE/>
        <w:autoSpaceDN/>
        <w:bidi w:val="0"/>
        <w:snapToGrid w:val="0"/>
        <w:spacing w:line="560" w:lineRule="exact"/>
        <w:ind w:firstLine="633" w:firstLineChars="198"/>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rPr>
        <w:t>）离岗创业人员年度考核合格者</w:t>
      </w:r>
      <w:r>
        <w:rPr>
          <w:rFonts w:hint="eastAsia" w:ascii="仿宋_GB2312" w:hAnsi="宋体" w:eastAsia="仿宋_GB2312" w:cs="宋体"/>
          <w:color w:val="auto"/>
          <w:kern w:val="0"/>
          <w:sz w:val="32"/>
          <w:szCs w:val="32"/>
          <w:lang w:val="en-US" w:eastAsia="zh-CN"/>
        </w:rPr>
        <w:t>教学工作量</w:t>
      </w:r>
      <w:r>
        <w:rPr>
          <w:rFonts w:hint="eastAsia" w:ascii="仿宋_GB2312" w:hAnsi="宋体" w:eastAsia="仿宋_GB2312" w:cs="宋体"/>
          <w:color w:val="auto"/>
          <w:kern w:val="0"/>
          <w:sz w:val="32"/>
          <w:szCs w:val="32"/>
        </w:rPr>
        <w:t>按兼任教师计</w:t>
      </w:r>
      <w:r>
        <w:rPr>
          <w:rFonts w:hint="eastAsia" w:ascii="仿宋_GB2312" w:hAnsi="宋体" w:eastAsia="仿宋_GB2312" w:cs="宋体"/>
          <w:color w:val="auto"/>
          <w:kern w:val="0"/>
          <w:sz w:val="32"/>
          <w:szCs w:val="32"/>
          <w:lang w:val="en-US" w:eastAsia="zh-CN"/>
        </w:rPr>
        <w:t>算</w:t>
      </w:r>
      <w:r>
        <w:rPr>
          <w:rFonts w:hint="eastAsia" w:ascii="仿宋_GB2312" w:hAnsi="宋体" w:eastAsia="仿宋_GB2312" w:cs="宋体"/>
          <w:color w:val="auto"/>
          <w:kern w:val="0"/>
          <w:sz w:val="32"/>
          <w:szCs w:val="32"/>
        </w:rPr>
        <w:t>。</w:t>
      </w:r>
    </w:p>
    <w:p>
      <w:pPr>
        <w:keepNext w:val="0"/>
        <w:keepLines w:val="0"/>
        <w:pageBreakBefore w:val="0"/>
        <w:kinsoku/>
        <w:wordWrap/>
        <w:overflowPunct/>
        <w:topLinePunct w:val="0"/>
        <w:autoSpaceDE/>
        <w:autoSpaceDN/>
        <w:bidi w:val="0"/>
        <w:snapToGrid w:val="0"/>
        <w:spacing w:line="560" w:lineRule="exact"/>
        <w:ind w:firstLine="633" w:firstLineChars="198"/>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6</w:t>
      </w:r>
      <w:r>
        <w:rPr>
          <w:rFonts w:hint="eastAsia" w:ascii="仿宋_GB2312" w:hAnsi="宋体" w:eastAsia="仿宋_GB2312" w:cs="宋体"/>
          <w:color w:val="auto"/>
          <w:kern w:val="0"/>
          <w:sz w:val="32"/>
          <w:szCs w:val="32"/>
        </w:rPr>
        <w:t>）教师在专</w:t>
      </w:r>
      <w:r>
        <w:rPr>
          <w:rFonts w:hint="eastAsia" w:ascii="仿宋_GB2312" w:hAnsi="宋体" w:eastAsia="仿宋_GB2312" w:cs="宋体"/>
          <w:color w:val="auto"/>
          <w:kern w:val="0"/>
          <w:sz w:val="32"/>
          <w:szCs w:val="32"/>
          <w:lang w:val="en-US" w:eastAsia="zh-CN"/>
        </w:rPr>
        <w:t>任</w:t>
      </w:r>
      <w:r>
        <w:rPr>
          <w:rFonts w:hint="eastAsia" w:ascii="仿宋_GB2312" w:hAnsi="宋体" w:eastAsia="仿宋_GB2312" w:cs="宋体"/>
          <w:color w:val="auto"/>
          <w:kern w:val="0"/>
          <w:sz w:val="32"/>
          <w:szCs w:val="32"/>
        </w:rPr>
        <w:t>教师岗位和兼任</w:t>
      </w:r>
      <w:r>
        <w:rPr>
          <w:rFonts w:hint="eastAsia" w:ascii="仿宋_GB2312" w:hAnsi="宋体" w:eastAsia="仿宋_GB2312" w:cs="宋体"/>
          <w:color w:val="auto"/>
          <w:kern w:val="0"/>
          <w:sz w:val="32"/>
          <w:szCs w:val="32"/>
          <w:lang w:val="en-US" w:eastAsia="zh-CN"/>
        </w:rPr>
        <w:t>教师</w:t>
      </w:r>
      <w:r>
        <w:rPr>
          <w:rFonts w:hint="eastAsia" w:ascii="仿宋_GB2312" w:hAnsi="宋体" w:eastAsia="仿宋_GB2312" w:cs="宋体"/>
          <w:color w:val="auto"/>
          <w:kern w:val="0"/>
          <w:sz w:val="32"/>
          <w:szCs w:val="32"/>
        </w:rPr>
        <w:t>有交叉任职年限的，</w:t>
      </w:r>
      <w:r>
        <w:rPr>
          <w:rFonts w:hint="eastAsia" w:ascii="仿宋_GB2312" w:hAnsi="宋体" w:eastAsia="仿宋_GB2312" w:cs="宋体"/>
          <w:color w:val="auto"/>
          <w:kern w:val="0"/>
          <w:sz w:val="32"/>
          <w:szCs w:val="32"/>
          <w:lang w:val="en-US" w:eastAsia="zh-CN"/>
        </w:rPr>
        <w:t>按现岗位核定额定教学工作量。教学工作量分数分别计算，按任职年限的比例乘以对应教学工作量分数，最后累加分值。</w:t>
      </w:r>
    </w:p>
    <w:p>
      <w:pPr>
        <w:keepNext w:val="0"/>
        <w:keepLines w:val="0"/>
        <w:pageBreakBefore w:val="0"/>
        <w:kinsoku/>
        <w:wordWrap/>
        <w:overflowPunct/>
        <w:topLinePunct w:val="0"/>
        <w:autoSpaceDE/>
        <w:autoSpaceDN/>
        <w:bidi w:val="0"/>
        <w:snapToGrid w:val="0"/>
        <w:spacing w:line="560" w:lineRule="exact"/>
        <w:ind w:firstLine="633" w:firstLineChars="198"/>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7）指导学生参加技能大赛课时：国家级团体一等奖计540课时，国家级团体二等奖计504课时，省级团体一等奖计360课时，省级团体二等奖计288课时。</w:t>
      </w:r>
    </w:p>
    <w:p>
      <w:pPr>
        <w:keepNext w:val="0"/>
        <w:keepLines w:val="0"/>
        <w:pageBreakBefore w:val="0"/>
        <w:kinsoku/>
        <w:wordWrap/>
        <w:overflowPunct/>
        <w:topLinePunct w:val="0"/>
        <w:autoSpaceDE/>
        <w:autoSpaceDN/>
        <w:bidi w:val="0"/>
        <w:snapToGrid w:val="0"/>
        <w:spacing w:line="560" w:lineRule="exact"/>
        <w:ind w:firstLine="633" w:firstLineChars="198"/>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注：一年内同一项目参加不同级别的比赛不累加计算，按最高奖励计；个人奖励按学生取得的最高奖励计算，不累加。</w:t>
      </w:r>
    </w:p>
    <w:p>
      <w:pPr>
        <w:keepNext w:val="0"/>
        <w:keepLines w:val="0"/>
        <w:pageBreakBefore w:val="0"/>
        <w:widowControl w:val="0"/>
        <w:kinsoku/>
        <w:wordWrap/>
        <w:overflowPunct/>
        <w:topLinePunct w:val="0"/>
        <w:autoSpaceDE/>
        <w:autoSpaceDN/>
        <w:bidi w:val="0"/>
        <w:snapToGrid w:val="0"/>
        <w:spacing w:line="560" w:lineRule="exact"/>
        <w:ind w:firstLine="643" w:firstLineChars="200"/>
        <w:textAlignment w:val="auto"/>
        <w:rPr>
          <w:rFonts w:ascii="楷体" w:hAnsi="楷体" w:eastAsia="楷体"/>
          <w:color w:val="auto"/>
          <w:sz w:val="32"/>
          <w:szCs w:val="32"/>
        </w:rPr>
      </w:pPr>
      <w:r>
        <w:rPr>
          <w:rFonts w:hint="eastAsia" w:ascii="楷体" w:hAnsi="楷体" w:eastAsia="楷体" w:cs="宋体"/>
          <w:b/>
          <w:bCs/>
          <w:color w:val="auto"/>
          <w:kern w:val="0"/>
          <w:sz w:val="32"/>
          <w:szCs w:val="32"/>
        </w:rPr>
        <w:t>（</w:t>
      </w:r>
      <w:r>
        <w:rPr>
          <w:rFonts w:hint="eastAsia" w:ascii="楷体" w:hAnsi="楷体" w:eastAsia="楷体" w:cs="宋体"/>
          <w:b/>
          <w:bCs/>
          <w:color w:val="auto"/>
          <w:kern w:val="0"/>
          <w:sz w:val="32"/>
          <w:szCs w:val="32"/>
          <w:lang w:eastAsia="zh-CN"/>
        </w:rPr>
        <w:t>二</w:t>
      </w:r>
      <w:r>
        <w:rPr>
          <w:rFonts w:hint="eastAsia" w:ascii="楷体" w:hAnsi="楷体" w:eastAsia="楷体" w:cs="宋体"/>
          <w:b/>
          <w:bCs/>
          <w:color w:val="auto"/>
          <w:kern w:val="0"/>
          <w:sz w:val="32"/>
          <w:szCs w:val="32"/>
        </w:rPr>
        <w:t>）业绩成果（50分）</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 w:hAnsi="仿宋" w:eastAsia="仿宋" w:cs="宋体"/>
          <w:b/>
          <w:color w:val="auto"/>
          <w:kern w:val="0"/>
          <w:sz w:val="32"/>
          <w:szCs w:val="32"/>
          <w:lang w:val="en-US" w:eastAsia="zh-CN"/>
        </w:rPr>
      </w:pPr>
      <w:r>
        <w:rPr>
          <w:rFonts w:hint="eastAsia" w:ascii="仿宋" w:hAnsi="仿宋" w:eastAsia="仿宋" w:cs="宋体"/>
          <w:b/>
          <w:color w:val="auto"/>
          <w:kern w:val="0"/>
          <w:sz w:val="32"/>
          <w:szCs w:val="32"/>
          <w:lang w:val="en-US" w:eastAsia="zh-CN"/>
        </w:rPr>
        <w:t>教学为主型教师</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1.超出河北省申报评审条件规定的教学质量考核要求的，每多取得一次优秀的，加0.5分/次。</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2.以第一作者（或通讯作者）公开发表本专业学术论文，被SCI、SSCI收录加4分/篇；被EI收录或发表在国内核心学术期刊加3分/篇；非核心期刊论文加0.4分/篇。总计限6篇。</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仿宋" w:eastAsia="仿宋_GB2312"/>
          <w:color w:val="auto"/>
          <w:sz w:val="32"/>
          <w:szCs w:val="32"/>
          <w:lang w:val="en-US" w:eastAsia="zh-CN"/>
        </w:rPr>
        <w:t>注：</w:t>
      </w:r>
      <w:r>
        <w:rPr>
          <w:rFonts w:hint="eastAsia" w:ascii="仿宋_GB2312" w:hAnsi="仿宋" w:eastAsia="仿宋_GB2312"/>
          <w:color w:val="auto"/>
          <w:sz w:val="32"/>
          <w:szCs w:val="32"/>
        </w:rPr>
        <w:t>中文期刊论文必须能够在三大数据库平台(中国知网、万方数据知识服务平台、维普)检索到，因收录时效导致暂未收录的论文</w:t>
      </w:r>
      <w:r>
        <w:rPr>
          <w:rFonts w:hint="eastAsia" w:ascii="仿宋_GB2312" w:hAnsi="仿宋" w:eastAsia="仿宋_GB2312"/>
          <w:color w:val="auto"/>
          <w:sz w:val="32"/>
          <w:szCs w:val="32"/>
          <w:lang w:val="en-US" w:eastAsia="zh-CN"/>
        </w:rPr>
        <w:t>不予认定</w:t>
      </w:r>
      <w:r>
        <w:rPr>
          <w:rFonts w:hint="eastAsia" w:ascii="仿宋_GB2312" w:hAnsi="仿宋" w:eastAsia="仿宋_GB2312"/>
          <w:color w:val="auto"/>
          <w:sz w:val="32"/>
          <w:szCs w:val="32"/>
        </w:rPr>
        <w:t>。未公开出版的论文集、习题集、作品集和增刊、专刊等不予认定。</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3.国家级教研教改项目（含课题）主持人加10分/项，主要参与人排名1—2的加3分/项，排名3—6的加1分/项。</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省（部）级教研教改项目（含课题）主持人加4分/项，主要参与人排名1—2的加1分/项，排名3—6的加0.2分/项。</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市（厅）级课题教研教改项目（含课题）主持人加2分/项，主要参与人排名1—2的加0.5分/项，排名3—6的加0.1分/项。</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校级教研教改项目（含课题）主持人加0.4分/项，主要参与人（排名1—2的）加0.1分/项。</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注：同一项目多次申报的，取最高级别计分。</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4.获国家级教学成果特等奖，排名第1的加20分/项，排名2—3的加12分/项，排名第4（含）以后的加8分/项；一等奖排名第1的加15分/项，排名2—3的加10分/项，排名第4（含）以后的加6分/项；二等奖排名第1的加8分/项，排名2—3的加5分/项，排名第4（含）以后的加3分/项；三等奖排名第1的加5分/项，排名2—3的加3分/项，排名第4（含）以后的加2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获省级教学成果一等奖，排名第1的加5分/项，排名2—3的加3分/项，排名4—5的加2分/项；二等奖排名第1的加3分/项，排名2—3的加2分/项，排名4—5的加1分/项；三等奖排名第1的加1分/项，排名2—3的加0.6分/项，排名4—5的加0.4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获校级教学成果一等奖，排名第1的加0.5分/项，排名2—3的加0.2分/项。</w:t>
      </w:r>
    </w:p>
    <w:p>
      <w:pPr>
        <w:widowControl/>
        <w:spacing w:line="560" w:lineRule="exact"/>
        <w:ind w:firstLine="640" w:firstLineChars="200"/>
        <w:contextualSpacing/>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w:t>
      </w:r>
      <w:r>
        <w:rPr>
          <w:rFonts w:hint="eastAsia" w:ascii="仿宋_GB2312" w:eastAsia="仿宋_GB2312"/>
          <w:color w:val="auto"/>
          <w:sz w:val="32"/>
          <w:szCs w:val="32"/>
        </w:rPr>
        <w:t>同一</w:t>
      </w:r>
      <w:r>
        <w:rPr>
          <w:rFonts w:hint="eastAsia" w:ascii="仿宋_GB2312" w:eastAsia="仿宋_GB2312"/>
          <w:color w:val="auto"/>
          <w:sz w:val="32"/>
          <w:szCs w:val="32"/>
          <w:lang w:val="en-US" w:eastAsia="zh-CN"/>
        </w:rPr>
        <w:t>成果</w:t>
      </w:r>
      <w:r>
        <w:rPr>
          <w:rFonts w:hint="eastAsia" w:ascii="仿宋_GB2312" w:eastAsia="仿宋_GB2312"/>
          <w:color w:val="auto"/>
          <w:sz w:val="32"/>
          <w:szCs w:val="32"/>
        </w:rPr>
        <w:t>多次获奖按最高级计分1次</w:t>
      </w:r>
      <w:r>
        <w:rPr>
          <w:rFonts w:hint="eastAsia" w:ascii="仿宋_GB2312" w:eastAsia="仿宋_GB2312"/>
          <w:color w:val="auto"/>
          <w:sz w:val="32"/>
          <w:szCs w:val="32"/>
          <w:lang w:eastAsia="zh-CN"/>
        </w:rPr>
        <w:t>。</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5.获国务院特贴专家、全国教书育人楷模、全国模范教师、全国优秀教师等国家荣誉称号，管理期内的河北省“三三三人才工程”一层次人选加8分/项。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管理期内的河北省“三三三人才工程”二层次人选、省管优秀专家，河北省政府特贴专家，或获河北省教书育人楷模、河北省模范教师、河北省优秀教师等省部级称号，加5分/项，市管优秀专家（市拔尖人才）加3分。</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获国家职业教育教师教学创新团队称号，团队负责人加5分/项，其他成员加1分/项；获省级职业教育教师教学创新团队称号，团队负责人加3分/项，其他成员加0.5分/项。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6.国家级在线开放课负责人加10分/项，排名2—3的加5分/项，排名4—5的加3分/项，其他成员加1分/项；</w:t>
      </w:r>
    </w:p>
    <w:p>
      <w:pPr>
        <w:keepNext w:val="0"/>
        <w:keepLines w:val="0"/>
        <w:pageBreakBefore w:val="0"/>
        <w:kinsoku/>
        <w:wordWrap/>
        <w:overflowPunct/>
        <w:topLinePunct w:val="0"/>
        <w:autoSpaceDE/>
        <w:autoSpaceDN/>
        <w:bidi w:val="0"/>
        <w:snapToGrid w:val="0"/>
        <w:spacing w:line="560" w:lineRule="exact"/>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国家级精品视频公开课负责人加10分/项，排名2—3的加5分/项，排名4—5的加3分/项，其他成员加1分/项；国家级精品资源共享课负责人加5分/项，排名2—3的加3分/项，排名4—5的加1分/项。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省级在线开放课负责人加6分/项，排名2—3的加3分/项，排名4—5的加1分/项，其他成员加0.5分/项；省级精品视频公开课负责人加6分/项，排名2—3的加3分/项，排名4—5的加1分/项，其他成员加0.5分/项；省级精品资源共享课负责人加3分/项，排名2—3的加1分/项，排名4—5的加0.</w:t>
      </w:r>
      <w:r>
        <w:rPr>
          <w:rFonts w:hint="default"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lang w:val="en-US" w:eastAsia="zh-CN"/>
        </w:rPr>
        <w:t>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校级在线开放课、精品视频公开课、精品资源共享课负责人加1分/项，排名2—3的加0.5分/项，排名4—5的加0.2分/项。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注：（1）校级各类课程作为非负责人限计1项；（2）同一课程以课程类型最高分值计分1次。</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7.获国家级教学（职业）能力大赛一等奖加5分/项，获国家级教学（职业）能力大赛二等奖加4分/项，获国家级教学（职业）能力大赛三等奖加3分/项。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获省级教学（职业）能力大赛一等奖加3分/项，获省级教学（职业）能力大赛二等奖加2分/项，获省级教学（职业）能力大赛三等奖加1分/项。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获市级教学（职业）能力大赛一等奖加1分/项，获市级教学（职业）能力大赛二等奖加0.5分/项。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获校级教学（职业）能力大赛一等奖加0.5分/项。</w:t>
      </w:r>
    </w:p>
    <w:p>
      <w:pPr>
        <w:widowControl/>
        <w:spacing w:line="560" w:lineRule="exact"/>
        <w:ind w:firstLine="640" w:firstLineChars="200"/>
        <w:contextualSpacing/>
        <w:jc w:val="left"/>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w:t>
      </w:r>
      <w:r>
        <w:rPr>
          <w:rFonts w:hint="eastAsia" w:ascii="仿宋_GB2312" w:eastAsia="仿宋_GB2312"/>
          <w:color w:val="auto"/>
          <w:sz w:val="32"/>
          <w:szCs w:val="32"/>
        </w:rPr>
        <w:t>同一比赛多次获奖按最高级计分1次</w:t>
      </w:r>
      <w:r>
        <w:rPr>
          <w:rFonts w:hint="eastAsia" w:ascii="仿宋_GB2312" w:eastAsia="仿宋_GB2312"/>
          <w:color w:val="auto"/>
          <w:sz w:val="32"/>
          <w:szCs w:val="32"/>
          <w:lang w:eastAsia="zh-CN"/>
        </w:rPr>
        <w:t>。</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8.指导学生参加技能大赛获国家级（国务院各部委组织、参与或授权评选）一等奖主教练加10分/项，获国家级二等奖主教练加6分/项，获国家级三等奖主教练加4分/项；指导学生参加创新创业大赛获国家级（国务院各部委组织、参与或授权评选）一等奖主教练加5分/项，获国家级二等奖主教练加4分/项，获国家级三等奖主教练加3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指导学生参加技能大赛获省级（省级政府指定的业务行政单位代表省政府组织、参与或授权评选）一等奖主教练加3分/项，获省级二等奖主教练加2分/项，获省级三等奖主教练加1分/项；指导学生参加创新创业大赛获省级（省级政府指定的业务行政单位代表省政府组织、参与或授权评选）一等奖主教练加2分/项，获省级二等奖主教练加1分/项，获省级三等奖主教练加0.6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注：（1）主教练名单由教务处核实提供；（2）同一赛项、同一年度取最高奖项计分。</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9.本人参加技能大赛、创新创业大赛获国家级（国务院各部委组织、参与或授权评选）一等奖加5分/项，获国家级二等奖加4分/项，获国家级三等奖加3分/项。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本人参加技能大赛、创新创业大赛获省级（省级政府指定的业务行政单位代表省政府组织、参与或授权评选）一等奖加3分/项，获省级二等奖加2分/项，获省级三等奖加1分/项。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本人参加技能大赛、创新创业大赛获市级（市级政府指定的业务行政单位代表市政府组织、参与或授权评选）一等奖加1分/项，获市级二等奖加0.5分/项。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w:t>
      </w:r>
      <w:r>
        <w:rPr>
          <w:rFonts w:hint="eastAsia" w:ascii="仿宋_GB2312" w:eastAsia="仿宋_GB2312"/>
          <w:color w:val="auto"/>
          <w:sz w:val="32"/>
          <w:szCs w:val="32"/>
        </w:rPr>
        <w:t>同一比赛多次获奖按最高级计分1次</w:t>
      </w:r>
      <w:r>
        <w:rPr>
          <w:rFonts w:hint="eastAsia" w:ascii="仿宋_GB2312" w:eastAsia="仿宋_GB2312"/>
          <w:color w:val="auto"/>
          <w:sz w:val="32"/>
          <w:szCs w:val="32"/>
          <w:lang w:eastAsia="zh-CN"/>
        </w:rPr>
        <w:t>。</w:t>
      </w:r>
    </w:p>
    <w:p>
      <w:pPr>
        <w:keepNext w:val="0"/>
        <w:keepLines w:val="0"/>
        <w:pageBreakBefore w:val="0"/>
        <w:numPr>
          <w:ilvl w:val="0"/>
          <w:numId w:val="1"/>
        </w:numPr>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 xml:space="preserve">主编教育部规划教材计10分/部，参编1-2名计2分/部,参编3-4名计1.5分/部；主编正式出版发行的其他教材计1分/部，参编计0.4分/部（限4人）；主编经学校审核录用的校本教材计1分/部，参编计0.4分/部（限4人），（字数要求：参评教授不低于10万字/部，参评副教授不低于8万字/部）。总计限5部。  </w:t>
      </w:r>
    </w:p>
    <w:p>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default" w:ascii="仿宋" w:hAnsi="仿宋" w:eastAsia="仿宋" w:cs="宋体"/>
          <w:b/>
          <w:color w:val="auto"/>
          <w:kern w:val="0"/>
          <w:sz w:val="32"/>
          <w:szCs w:val="32"/>
          <w:lang w:val="en-US" w:eastAsia="zh-CN"/>
        </w:rPr>
      </w:pPr>
      <w:r>
        <w:rPr>
          <w:rFonts w:hint="eastAsia" w:ascii="仿宋" w:hAnsi="仿宋" w:eastAsia="仿宋" w:cs="宋体"/>
          <w:b/>
          <w:color w:val="auto"/>
          <w:kern w:val="0"/>
          <w:sz w:val="32"/>
          <w:szCs w:val="32"/>
          <w:lang w:val="en-US" w:eastAsia="zh-CN"/>
        </w:rPr>
        <w:t>教学科研型教师</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1.获国家级科学技术奖、教学成果特等奖，排名第1的加20分/项，排名2—3的加12分/项，排名第4（含）以后的加8分/项；一等奖排名第1的加15分/项，排名2—3的加10分/项，排名第4（含）以后的加6分/项，二等奖排名第1的加8分/项，排名2—3的加5分/项，排名第4（含）以后的加3分/项。三等奖排名第1的加5分/项，排名2—3的加3分/项，排名第4（含）以后的加2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获省级科学技术奖、省级社会科学优秀成果奖、排名第1的加5分/项，排名2—3的加3分/项，排名4—5的加2分/项；二等奖排名第1的加3分/项，排名2—3的加2分/项，排名4—5的加1分/项。三等奖排名第1的加1分/项，排名2—3的加0.6分/项，排名4—5的加0.4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获校级科研（教学）成果一等奖，排名第1的加0.5分/项，排名2—3的加0.2分/项。</w:t>
      </w:r>
    </w:p>
    <w:p>
      <w:pPr>
        <w:widowControl/>
        <w:spacing w:line="560" w:lineRule="exact"/>
        <w:ind w:firstLine="640" w:firstLineChars="200"/>
        <w:contextualSpacing/>
        <w:jc w:val="left"/>
        <w:rPr>
          <w:rFonts w:hint="eastAsia" w:ascii="仿宋_GB2312" w:eastAsia="仿宋_GB2312"/>
          <w:color w:val="auto"/>
          <w:sz w:val="32"/>
          <w:szCs w:val="32"/>
          <w:lang w:val="en-US" w:eastAsia="zh-CN"/>
        </w:rPr>
      </w:pPr>
      <w:r>
        <w:rPr>
          <w:rFonts w:hint="eastAsia" w:ascii="仿宋_GB2312" w:hAnsi="宋体" w:eastAsia="仿宋_GB2312" w:cs="宋体"/>
          <w:color w:val="auto"/>
          <w:kern w:val="0"/>
          <w:sz w:val="32"/>
          <w:szCs w:val="32"/>
          <w:lang w:val="en-US" w:eastAsia="zh-CN"/>
        </w:rPr>
        <w:t>注：</w:t>
      </w:r>
      <w:r>
        <w:rPr>
          <w:rFonts w:hint="eastAsia" w:ascii="仿宋_GB2312" w:eastAsia="仿宋_GB2312"/>
          <w:color w:val="auto"/>
          <w:sz w:val="32"/>
          <w:szCs w:val="32"/>
        </w:rPr>
        <w:t>同一</w:t>
      </w:r>
      <w:r>
        <w:rPr>
          <w:rFonts w:hint="eastAsia" w:ascii="仿宋_GB2312" w:eastAsia="仿宋_GB2312"/>
          <w:color w:val="auto"/>
          <w:sz w:val="32"/>
          <w:szCs w:val="32"/>
          <w:lang w:val="en-US" w:eastAsia="zh-CN"/>
        </w:rPr>
        <w:t>成果</w:t>
      </w:r>
      <w:r>
        <w:rPr>
          <w:rFonts w:hint="eastAsia" w:ascii="仿宋_GB2312" w:eastAsia="仿宋_GB2312"/>
          <w:color w:val="auto"/>
          <w:sz w:val="32"/>
          <w:szCs w:val="32"/>
        </w:rPr>
        <w:t>多次获奖按最高级计分1次</w:t>
      </w:r>
      <w:r>
        <w:rPr>
          <w:rFonts w:hint="eastAsia" w:ascii="仿宋_GB2312" w:eastAsia="仿宋_GB2312"/>
          <w:color w:val="auto"/>
          <w:sz w:val="32"/>
          <w:szCs w:val="32"/>
          <w:lang w:eastAsia="zh-CN"/>
        </w:rPr>
        <w:t>。</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2.超出河北省申报评审条件规定的教学质量考核要求的，每多取得一次优秀的，加0.5分/次。</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3.获国家级教学（职业）能力大赛一等奖加5分/项，获国家级教学（职业）能力大赛二等奖加4分/项，获国家级教学（职业）能力大赛三等奖加3分/项。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获省级教学（职业）能力大赛一等奖加3分/项，获省级教学（职业）能力大赛二等奖加2分/项，获省级教学（职业）能力大赛三等奖加1分/项。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获市级教学（职业）能力大赛一等奖加1分/项，获市级教学（职业）能力大赛二等奖加0.5分/项。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获校级教学（职业）能力大赛一等奖加0.5分/项。</w:t>
      </w:r>
    </w:p>
    <w:p>
      <w:pPr>
        <w:widowControl/>
        <w:spacing w:line="560" w:lineRule="exact"/>
        <w:ind w:firstLine="640" w:firstLineChars="200"/>
        <w:contextualSpacing/>
        <w:jc w:val="left"/>
        <w:rPr>
          <w:rFonts w:hint="eastAsia" w:ascii="仿宋_GB2312" w:eastAsia="仿宋_GB2312"/>
          <w:color w:val="auto"/>
          <w:sz w:val="32"/>
          <w:szCs w:val="32"/>
          <w:lang w:val="en-US" w:eastAsia="zh-CN"/>
        </w:rPr>
      </w:pPr>
      <w:r>
        <w:rPr>
          <w:rFonts w:hint="eastAsia" w:ascii="仿宋_GB2312" w:hAnsi="宋体" w:eastAsia="仿宋_GB2312" w:cs="宋体"/>
          <w:color w:val="auto"/>
          <w:kern w:val="0"/>
          <w:sz w:val="32"/>
          <w:szCs w:val="32"/>
          <w:lang w:val="en-US" w:eastAsia="zh-CN"/>
        </w:rPr>
        <w:t>注：</w:t>
      </w:r>
      <w:r>
        <w:rPr>
          <w:rFonts w:hint="eastAsia" w:ascii="仿宋_GB2312" w:eastAsia="仿宋_GB2312"/>
          <w:color w:val="auto"/>
          <w:sz w:val="32"/>
          <w:szCs w:val="32"/>
        </w:rPr>
        <w:t>同一比赛多次获奖按最高级计分1次</w:t>
      </w:r>
      <w:r>
        <w:rPr>
          <w:rFonts w:hint="eastAsia" w:ascii="仿宋_GB2312" w:eastAsia="仿宋_GB2312"/>
          <w:color w:val="auto"/>
          <w:sz w:val="32"/>
          <w:szCs w:val="32"/>
          <w:lang w:eastAsia="zh-CN"/>
        </w:rPr>
        <w:t>。</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4.国家级在线开放课负责人加10分/项，排名2—3的加5分/项，排名4—5的加3分/项，其他成员加1分/项；</w:t>
      </w:r>
    </w:p>
    <w:p>
      <w:pPr>
        <w:keepNext w:val="0"/>
        <w:keepLines w:val="0"/>
        <w:pageBreakBefore w:val="0"/>
        <w:kinsoku/>
        <w:wordWrap/>
        <w:overflowPunct/>
        <w:topLinePunct w:val="0"/>
        <w:autoSpaceDE/>
        <w:autoSpaceDN/>
        <w:bidi w:val="0"/>
        <w:snapToGrid w:val="0"/>
        <w:spacing w:line="560" w:lineRule="exact"/>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国家级精品视频公开课负责人加10分/项，排名2—3的加5分/项，排名4—5的加3分/项，其他成员加1分/项；国家级精品资源共享课负责人加5分/项，排名2—3的加3分/项，排名4—5的加1分/项。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省级在线开放课负责人加6分/项，排名2—3的加3分/项，排名4—5的加1分/项，其他成员加0.5分/项；省级精品视频公开课负责人加6分/项，排名2—3的加3分/项，排名4—5的加1分/项，其他成员加0.5分/项；省级精品资源共享课负责人加3分/项，排名2—3的加1分/项，排名4—5的加0.</w:t>
      </w:r>
      <w:r>
        <w:rPr>
          <w:rFonts w:hint="default" w:ascii="仿宋_GB2312" w:hAnsi="宋体" w:eastAsia="仿宋_GB2312" w:cs="宋体"/>
          <w:color w:val="auto"/>
          <w:kern w:val="0"/>
          <w:sz w:val="32"/>
          <w:szCs w:val="32"/>
          <w:lang w:val="en-US" w:eastAsia="zh-CN"/>
        </w:rPr>
        <w:t>3</w:t>
      </w:r>
      <w:r>
        <w:rPr>
          <w:rFonts w:hint="eastAsia" w:ascii="仿宋_GB2312" w:hAnsi="宋体" w:eastAsia="仿宋_GB2312" w:cs="宋体"/>
          <w:color w:val="auto"/>
          <w:kern w:val="0"/>
          <w:sz w:val="32"/>
          <w:szCs w:val="32"/>
          <w:lang w:val="en-US" w:eastAsia="zh-CN"/>
        </w:rPr>
        <w:t>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校级在线开放课、精品视频公开课、精品资源共享课负责人加1分/项，排名2—3的加0.5分/项，排名4—5的加0.2分/项。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注：（1）校级各类课程作为非负责人限计1项；（2）同一课程以课程类型最高分值计分1次。</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5.指导学生参加技能大赛获国家级（国务院各部委组织、参与或授权评选）一等奖主教练加10分/项，获国家级二等奖主教练加6分/项，获国家级三等奖主教练加4分/项；指导学生参加创新创业大赛获国家级（国务院各部委组织、参与或授权评选）一等奖主教练加5分/项，获国家级二等奖主教练加4分/项，获国家级三等奖主教练加3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指导学生参加技能大赛获省级（省级政府指定的业务行政单位代表省政府组织、参与或授权评选）一等奖主教练加3分/项，获省级二等奖主教练加2分/项，获省级三等奖主教练加1分/项；指导学生参加创新创业大赛获省级（省级政府指定的业务行政单位代表省政府组织、参与或授权评选）一等奖主教练加2分/项，获省级二等奖主教练加1分/项，获省级三等奖主教练加0.6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注：（1）主教练名单由教务处核实提供；（2）同一赛项、同一年度取最高奖项计分。</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6.本人参加技能大赛、创新创业大赛获国家级（国务院各部委组织、参与或授权评选）一等奖加5分/项，获国家级二等奖加4分/项，获国家级三等奖加3分/项。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本人参加技能大赛、创新创业大赛获省级（省级政府指定的业务行政单位代表省政府组织、参与或授权评选）一等奖加3分/项，获省级二等奖加2分/项，获省级三等奖加1分/项。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本人参加技能大赛、创新创业大赛获市级（市级政府指定的业务行政单位代表市政府组织、参与或授权评选）一等奖加1分/项，获市级二等奖加0.5分/项。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w:t>
      </w:r>
      <w:r>
        <w:rPr>
          <w:rFonts w:hint="eastAsia" w:ascii="仿宋_GB2312" w:eastAsia="仿宋_GB2312"/>
          <w:color w:val="auto"/>
          <w:sz w:val="32"/>
          <w:szCs w:val="32"/>
        </w:rPr>
        <w:t>同一比赛多次获奖按最高级计分1次</w:t>
      </w:r>
      <w:r>
        <w:rPr>
          <w:rFonts w:hint="eastAsia" w:ascii="仿宋_GB2312" w:eastAsia="仿宋_GB2312"/>
          <w:color w:val="auto"/>
          <w:sz w:val="32"/>
          <w:szCs w:val="32"/>
          <w:lang w:eastAsia="zh-CN"/>
        </w:rPr>
        <w:t>。</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7.获国务院特贴专家、全国教书育人楷模、全国模范教师、全国优秀教师等国家荣誉称号，管理期内的河北省“三三三人才工程”一层次人选加8分/项。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管理期内的河北省“三三三人才工程”二层次人选、省管优秀专家，河北省政府特贴专家，或获河北省教书育人楷模、河北省模范教师、河北省优秀教师等省部级称号，加5分/项，市管优秀专家（市拔尖人才）加3分。</w:t>
      </w:r>
    </w:p>
    <w:p>
      <w:pPr>
        <w:keepNext w:val="0"/>
        <w:keepLines w:val="0"/>
        <w:pageBreakBefore w:val="0"/>
        <w:kinsoku/>
        <w:wordWrap/>
        <w:overflowPunct/>
        <w:topLinePunct w:val="0"/>
        <w:autoSpaceDE/>
        <w:autoSpaceDN/>
        <w:bidi w:val="0"/>
        <w:snapToGrid w:val="0"/>
        <w:spacing w:line="560" w:lineRule="exact"/>
        <w:ind w:firstLine="64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获国家职业教育教师教学创新团队称号，团队负责人加5分/项，其他成员加1分/项；获省级职业教育教师教学创新团队称号，团队负责人加3分/项，其他成员加0.5分/项。</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8.国家级教研教改项目（含课题）主持人加10分/项，主要参与人排名1—2的加3分/项，排名3—6的加1分/项。</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省（部）级教研教改项目（含课题）主持人加4分/项，主要参与人排名1—2的加1分/项，排名3—6的加0.2分/项。</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市（厅）级课题教研教改项目（含课题）主持人加2分/项，主要参与人排名1—2的加0.5分/项，排名3—6的加0.1分/项。</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校级教研教改项目（含课题）主持人加0.4分/项，主要参与人（排名1—2的）加0.1分/项。</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注：同一项目多次申报的，取最高级别计分。</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9.发明专利第1—3名分别计4分/项、2分/项、1分/项；实用新型及软著第1—2名分别计0.4分/项、0.2分/项；外观设计第1名计0.2分/项。实现专利转让（以到位经费为准，发明专利转让到位经费5万元/件以上，实用新型专利转让到位费1万元/件以上）的分值加倍。</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注：（1）第1发明专利不限数量，非第1名限报3项；（2）实用新型及软著、外观设计限报3项；（3）获得的专利需有国家知识产权局授权。</w:t>
      </w:r>
    </w:p>
    <w:p>
      <w:pPr>
        <w:keepNext w:val="0"/>
        <w:keepLines w:val="0"/>
        <w:pageBreakBefore w:val="0"/>
        <w:kinsoku/>
        <w:wordWrap/>
        <w:overflowPunct/>
        <w:topLinePunct w:val="0"/>
        <w:autoSpaceDE/>
        <w:autoSpaceDN/>
        <w:bidi w:val="0"/>
        <w:snapToGrid w:val="0"/>
        <w:spacing w:line="560" w:lineRule="exact"/>
        <w:ind w:firstLine="640"/>
        <w:jc w:val="both"/>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10.主持横向课题，按实际到账经费（单位：万元），工（100）理（30）社科（10）以上的，加5分/项；工（50）理（15）社科（5）以上的，加3分/项；工（25）理（7）社科（2）以上的，加1分/项；工（10）理（3）社科（1）以上的，加0.5分/项。</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注：（1）</w:t>
      </w:r>
      <w:r>
        <w:rPr>
          <w:rFonts w:hint="eastAsia" w:ascii="仿宋_GB2312" w:hAnsi="仿宋" w:eastAsia="仿宋_GB2312"/>
          <w:color w:val="auto"/>
          <w:sz w:val="32"/>
          <w:szCs w:val="32"/>
        </w:rPr>
        <w:t>以合同书和到账的经费为依据</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（2）到校经费按任现职以来累计总额合计。</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11.以第一作者（或通讯作者）公开发表本专业学术论文，被SCI、SSCI收录加4分/篇；被EI收录或发表在国内核心学术期刊加3分/篇；非核心期刊论文加0.4分/篇。总计限6篇。</w:t>
      </w:r>
    </w:p>
    <w:p>
      <w:pPr>
        <w:keepNext w:val="0"/>
        <w:keepLines w:val="0"/>
        <w:pageBreakBefore w:val="0"/>
        <w:kinsoku/>
        <w:wordWrap/>
        <w:overflowPunct/>
        <w:topLinePunct w:val="0"/>
        <w:autoSpaceDE/>
        <w:autoSpaceDN/>
        <w:bidi w:val="0"/>
        <w:snapToGrid w:val="0"/>
        <w:spacing w:line="560" w:lineRule="exact"/>
        <w:ind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仿宋" w:eastAsia="仿宋_GB2312"/>
          <w:color w:val="auto"/>
          <w:sz w:val="32"/>
          <w:szCs w:val="32"/>
          <w:lang w:val="en-US" w:eastAsia="zh-CN"/>
        </w:rPr>
        <w:t>注：</w:t>
      </w:r>
      <w:r>
        <w:rPr>
          <w:rFonts w:hint="eastAsia" w:ascii="仿宋_GB2312" w:hAnsi="仿宋" w:eastAsia="仿宋_GB2312"/>
          <w:color w:val="auto"/>
          <w:sz w:val="32"/>
          <w:szCs w:val="32"/>
        </w:rPr>
        <w:t>中文期刊论文必须能够在三大数据库平台(中国知网、万方数据知识服务平台、维普)检索到，因收录时效导致暂未收录的论文</w:t>
      </w:r>
      <w:r>
        <w:rPr>
          <w:rFonts w:hint="eastAsia" w:ascii="仿宋_GB2312" w:hAnsi="仿宋" w:eastAsia="仿宋_GB2312"/>
          <w:color w:val="auto"/>
          <w:sz w:val="32"/>
          <w:szCs w:val="32"/>
          <w:lang w:val="en-US" w:eastAsia="zh-CN"/>
        </w:rPr>
        <w:t>不予认定</w:t>
      </w:r>
      <w:r>
        <w:rPr>
          <w:rFonts w:hint="eastAsia" w:ascii="仿宋_GB2312" w:hAnsi="仿宋" w:eastAsia="仿宋_GB2312"/>
          <w:color w:val="auto"/>
          <w:sz w:val="32"/>
          <w:szCs w:val="32"/>
        </w:rPr>
        <w:t>。未公开出版的论文集、习题集、作品集和增刊、专刊等不予认定。</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12.公开出版本专业学术专著或译著的，一类著作第一作者计4分/部，第二、三作者加2分/部；二类著作第一作者计3分/部，第二、三作者计1分/部；三类著作第一作者计1分/部，第二、三作者计0.4分/部。总计限5部。</w:t>
      </w:r>
    </w:p>
    <w:p>
      <w:pPr>
        <w:autoSpaceDE w:val="0"/>
        <w:autoSpaceDN w:val="0"/>
        <w:spacing w:line="560" w:lineRule="exact"/>
        <w:ind w:firstLine="640" w:firstLineChars="200"/>
        <w:contextualSpacing/>
        <w:jc w:val="left"/>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注：（1）</w:t>
      </w:r>
      <w:r>
        <w:rPr>
          <w:rFonts w:hint="eastAsia" w:ascii="仿宋_GB2312" w:hAnsi="仿宋" w:eastAsia="仿宋_GB2312"/>
          <w:color w:val="auto"/>
          <w:sz w:val="32"/>
          <w:szCs w:val="32"/>
        </w:rPr>
        <w:t>一类是指重要出版社出版的学术专著。二类是指重要出版社出版的译著、编著、古籍整理、艺术作品等。三类是指其他出版社出版的著作等</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重要出版社：人民出版社、科学出版社、高等教育出版社、中华书局、商务印书馆、中国社会科学出版社、中国科学技术出版社</w:t>
      </w:r>
      <w:r>
        <w:rPr>
          <w:rFonts w:hint="eastAsia" w:ascii="仿宋_GB2312" w:hAnsi="仿宋" w:eastAsia="仿宋_GB2312"/>
          <w:color w:val="auto"/>
          <w:sz w:val="32"/>
          <w:szCs w:val="32"/>
          <w:lang w:eastAsia="zh-CN"/>
        </w:rPr>
        <w:t>。</w:t>
      </w:r>
    </w:p>
    <w:p>
      <w:pPr>
        <w:keepNext w:val="0"/>
        <w:keepLines w:val="0"/>
        <w:pageBreakBefore w:val="0"/>
        <w:kinsoku/>
        <w:wordWrap/>
        <w:overflowPunct/>
        <w:topLinePunct w:val="0"/>
        <w:autoSpaceDE/>
        <w:autoSpaceDN/>
        <w:bidi w:val="0"/>
        <w:snapToGrid w:val="0"/>
        <w:spacing w:line="560" w:lineRule="exact"/>
        <w:ind w:firstLine="64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 xml:space="preserve">13.主编教育部规划教材计10分/部，参编1-2名计2分/部,参编3-4名计1.5分/部；主编正式出版发行的其他教材计1分/部，参编计0.4分/部（限4人）；主编经学校审核录用的校本教材计1分/部，参编计0.4分/部（限4人）（字数要求：参评教授不低于10万字/部，参评副教授不低于8万字/部）。总计限5部。   </w:t>
      </w:r>
    </w:p>
    <w:p>
      <w:pPr>
        <w:keepNext w:val="0"/>
        <w:keepLines w:val="0"/>
        <w:pageBreakBefore w:val="0"/>
        <w:widowControl w:val="0"/>
        <w:kinsoku/>
        <w:wordWrap/>
        <w:overflowPunct/>
        <w:topLinePunct w:val="0"/>
        <w:autoSpaceDE/>
        <w:autoSpaceDN/>
        <w:bidi w:val="0"/>
        <w:snapToGrid w:val="0"/>
        <w:spacing w:line="560" w:lineRule="exact"/>
        <w:ind w:firstLine="640"/>
        <w:textAlignment w:val="auto"/>
        <w:rPr>
          <w:rFonts w:hint="default" w:ascii="仿宋" w:hAnsi="仿宋" w:eastAsia="仿宋"/>
          <w:b/>
          <w:color w:val="auto"/>
          <w:sz w:val="32"/>
          <w:szCs w:val="32"/>
          <w:lang w:val="en-US"/>
        </w:rPr>
      </w:pPr>
      <w:r>
        <w:rPr>
          <w:rFonts w:hint="eastAsia" w:ascii="仿宋_GB2312" w:hAnsi="宋体" w:eastAsia="仿宋_GB2312" w:cs="宋体"/>
          <w:color w:val="auto"/>
          <w:kern w:val="0"/>
          <w:sz w:val="32"/>
          <w:szCs w:val="32"/>
          <w:lang w:val="en-US" w:eastAsia="zh-CN"/>
        </w:rPr>
        <w:t>14.科技成果转化或推广，申报教授的，取得显著经济效益并得到省级以上行业主管部门认可的，开发人排名第1的加1分/150万元，排名第2的加0.5分/150万元，排名第3—5的加0.1分/150万元。申报副教授、讲师的，取得显著经济效益并得到省级以上行业主管部门认可的，开发人排名第1的加1分/50万元，排名第2的加0.5分/50万元，排名3—5的加0.1分/50万元。</w:t>
      </w:r>
    </w:p>
    <w:p>
      <w:pPr>
        <w:keepNext w:val="0"/>
        <w:keepLines w:val="0"/>
        <w:pageBreakBefore w:val="0"/>
        <w:widowControl w:val="0"/>
        <w:kinsoku/>
        <w:wordWrap/>
        <w:overflowPunct/>
        <w:topLinePunct w:val="0"/>
        <w:bidi w:val="0"/>
        <w:snapToGrid w:val="0"/>
        <w:spacing w:line="560" w:lineRule="exact"/>
        <w:ind w:left="450"/>
        <w:textAlignment w:val="auto"/>
        <w:rPr>
          <w:rFonts w:ascii="仿宋" w:hAnsi="仿宋" w:eastAsia="仿宋"/>
          <w:color w:val="auto"/>
          <w:sz w:val="30"/>
        </w:rPr>
      </w:pPr>
      <w:r>
        <w:rPr>
          <w:rFonts w:hint="eastAsia" w:ascii="仿宋" w:hAnsi="仿宋" w:eastAsia="仿宋"/>
          <w:b/>
          <w:color w:val="auto"/>
          <w:sz w:val="32"/>
          <w:szCs w:val="32"/>
        </w:rPr>
        <w:t>（</w:t>
      </w:r>
      <w:r>
        <w:rPr>
          <w:rFonts w:hint="eastAsia" w:ascii="仿宋" w:hAnsi="仿宋" w:eastAsia="仿宋"/>
          <w:b/>
          <w:color w:val="auto"/>
          <w:sz w:val="32"/>
          <w:szCs w:val="32"/>
          <w:lang w:eastAsia="zh-CN"/>
        </w:rPr>
        <w:t>三</w:t>
      </w:r>
      <w:r>
        <w:rPr>
          <w:rFonts w:hint="eastAsia" w:ascii="仿宋" w:hAnsi="仿宋" w:eastAsia="仿宋"/>
          <w:b/>
          <w:color w:val="auto"/>
          <w:sz w:val="32"/>
          <w:szCs w:val="32"/>
        </w:rPr>
        <w:t>）</w:t>
      </w:r>
      <w:r>
        <w:rPr>
          <w:rFonts w:hint="eastAsia" w:ascii="仿宋" w:hAnsi="仿宋" w:eastAsia="仿宋"/>
          <w:b/>
          <w:color w:val="auto"/>
          <w:sz w:val="32"/>
          <w:szCs w:val="32"/>
          <w:lang w:eastAsia="zh-CN"/>
        </w:rPr>
        <w:t>专业技术工作经历</w:t>
      </w:r>
    </w:p>
    <w:p>
      <w:pPr>
        <w:keepNext w:val="0"/>
        <w:keepLines w:val="0"/>
        <w:pageBreakBefore w:val="0"/>
        <w:widowControl w:val="0"/>
        <w:kinsoku/>
        <w:wordWrap/>
        <w:overflowPunct/>
        <w:topLinePunct w:val="0"/>
        <w:bidi w:val="0"/>
        <w:snapToGrid w:val="0"/>
        <w:spacing w:line="560" w:lineRule="exact"/>
        <w:ind w:firstLine="600"/>
        <w:textAlignment w:val="auto"/>
        <w:rPr>
          <w:rFonts w:ascii="仿宋" w:hAnsi="仿宋" w:eastAsia="仿宋"/>
          <w:bCs/>
          <w:color w:val="auto"/>
          <w:sz w:val="30"/>
        </w:rPr>
      </w:pPr>
      <w:r>
        <w:rPr>
          <w:rFonts w:ascii="仿宋" w:hAnsi="仿宋" w:eastAsia="仿宋"/>
          <w:b/>
          <w:bCs/>
          <w:color w:val="auto"/>
          <w:sz w:val="30"/>
        </w:rPr>
        <w:t>1</w:t>
      </w:r>
      <w:r>
        <w:rPr>
          <w:rFonts w:hint="eastAsia" w:ascii="仿宋" w:hAnsi="仿宋" w:eastAsia="仿宋"/>
          <w:b/>
          <w:bCs/>
          <w:color w:val="auto"/>
          <w:sz w:val="30"/>
        </w:rPr>
        <w:t>.学历（</w:t>
      </w:r>
      <w:r>
        <w:rPr>
          <w:rFonts w:hint="eastAsia" w:ascii="仿宋" w:hAnsi="仿宋" w:eastAsia="仿宋"/>
          <w:b/>
          <w:bCs/>
          <w:color w:val="auto"/>
          <w:sz w:val="30"/>
          <w:lang w:val="en-US" w:eastAsia="zh-CN"/>
        </w:rPr>
        <w:t>3</w:t>
      </w:r>
      <w:r>
        <w:rPr>
          <w:rFonts w:hint="eastAsia" w:ascii="仿宋" w:hAnsi="仿宋" w:eastAsia="仿宋"/>
          <w:b/>
          <w:bCs/>
          <w:color w:val="auto"/>
          <w:sz w:val="30"/>
        </w:rPr>
        <w:t>分）</w:t>
      </w:r>
    </w:p>
    <w:p>
      <w:pPr>
        <w:keepNext w:val="0"/>
        <w:keepLines w:val="0"/>
        <w:pageBreakBefore w:val="0"/>
        <w:widowControl w:val="0"/>
        <w:kinsoku/>
        <w:wordWrap/>
        <w:overflowPunct/>
        <w:topLinePunct w:val="0"/>
        <w:bidi w:val="0"/>
        <w:snapToGrid w:val="0"/>
        <w:spacing w:line="560" w:lineRule="exact"/>
        <w:ind w:firstLine="600"/>
        <w:textAlignment w:val="auto"/>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rPr>
        <w:t>博士：</w:t>
      </w:r>
      <w:r>
        <w:rPr>
          <w:rFonts w:hint="eastAsia" w:ascii="仿宋_GB2312" w:hAnsi="宋体" w:eastAsia="仿宋_GB2312"/>
          <w:color w:val="auto"/>
          <w:sz w:val="32"/>
          <w:szCs w:val="32"/>
          <w:lang w:val="en-US" w:eastAsia="zh-CN"/>
        </w:rPr>
        <w:t>3</w:t>
      </w:r>
      <w:r>
        <w:rPr>
          <w:rFonts w:hint="eastAsia" w:ascii="仿宋_GB2312" w:hAnsi="宋体" w:eastAsia="仿宋_GB2312"/>
          <w:color w:val="auto"/>
          <w:sz w:val="32"/>
          <w:szCs w:val="32"/>
        </w:rPr>
        <w:t>分</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硕士：</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rPr>
        <w:t>分</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本科：</w:t>
      </w:r>
      <w:r>
        <w:rPr>
          <w:rFonts w:hint="eastAsia" w:ascii="仿宋_GB2312" w:hAnsi="宋体" w:eastAsia="仿宋_GB2312"/>
          <w:color w:val="auto"/>
          <w:sz w:val="32"/>
          <w:szCs w:val="32"/>
          <w:lang w:val="en-US" w:eastAsia="zh-CN"/>
        </w:rPr>
        <w:t>1</w:t>
      </w:r>
      <w:r>
        <w:rPr>
          <w:rFonts w:hint="eastAsia" w:ascii="仿宋_GB2312" w:hAnsi="宋体" w:eastAsia="仿宋_GB2312"/>
          <w:color w:val="auto"/>
          <w:sz w:val="32"/>
          <w:szCs w:val="32"/>
        </w:rPr>
        <w:t>分</w:t>
      </w:r>
      <w:r>
        <w:rPr>
          <w:rFonts w:hint="eastAsia" w:ascii="仿宋_GB2312" w:hAnsi="宋体" w:eastAsia="仿宋_GB2312"/>
          <w:color w:val="auto"/>
          <w:sz w:val="32"/>
          <w:szCs w:val="32"/>
          <w:lang w:eastAsia="zh-CN"/>
        </w:rPr>
        <w:t>。</w:t>
      </w:r>
    </w:p>
    <w:p>
      <w:pPr>
        <w:keepNext w:val="0"/>
        <w:keepLines w:val="0"/>
        <w:pageBreakBefore w:val="0"/>
        <w:widowControl w:val="0"/>
        <w:kinsoku/>
        <w:wordWrap/>
        <w:overflowPunct/>
        <w:topLinePunct w:val="0"/>
        <w:bidi w:val="0"/>
        <w:snapToGrid w:val="0"/>
        <w:spacing w:line="560" w:lineRule="exact"/>
        <w:ind w:firstLine="600"/>
        <w:textAlignment w:val="auto"/>
        <w:rPr>
          <w:rFonts w:hint="eastAsia" w:ascii="仿宋" w:hAnsi="仿宋" w:eastAsia="仿宋"/>
          <w:bCs/>
          <w:color w:val="auto"/>
          <w:sz w:val="30"/>
          <w:lang w:eastAsia="zh-CN"/>
        </w:rPr>
      </w:pPr>
      <w:r>
        <w:rPr>
          <w:rFonts w:hint="eastAsia" w:ascii="仿宋" w:hAnsi="仿宋" w:eastAsia="仿宋"/>
          <w:b/>
          <w:bCs/>
          <w:color w:val="auto"/>
          <w:sz w:val="30"/>
        </w:rPr>
        <w:t>2.任职资历</w:t>
      </w:r>
      <w:r>
        <w:rPr>
          <w:rFonts w:hint="eastAsia" w:ascii="仿宋" w:hAnsi="仿宋" w:eastAsia="仿宋"/>
          <w:b/>
          <w:bCs/>
          <w:color w:val="auto"/>
          <w:sz w:val="30"/>
          <w:lang w:eastAsia="zh-CN"/>
        </w:rPr>
        <w:t>（</w:t>
      </w:r>
      <w:r>
        <w:rPr>
          <w:rFonts w:hint="eastAsia" w:ascii="仿宋" w:hAnsi="仿宋" w:eastAsia="仿宋"/>
          <w:b/>
          <w:bCs/>
          <w:color w:val="auto"/>
          <w:sz w:val="30"/>
          <w:lang w:val="en-US" w:eastAsia="zh-CN"/>
        </w:rPr>
        <w:t>6分</w:t>
      </w:r>
      <w:r>
        <w:rPr>
          <w:rFonts w:hint="eastAsia" w:ascii="仿宋" w:hAnsi="仿宋" w:eastAsia="仿宋"/>
          <w:b/>
          <w:bCs/>
          <w:color w:val="auto"/>
          <w:sz w:val="30"/>
          <w:lang w:eastAsia="zh-CN"/>
        </w:rPr>
        <w:t>）</w:t>
      </w:r>
    </w:p>
    <w:p>
      <w:pPr>
        <w:keepNext w:val="0"/>
        <w:keepLines w:val="0"/>
        <w:pageBreakBefore w:val="0"/>
        <w:widowControl w:val="0"/>
        <w:kinsoku/>
        <w:wordWrap/>
        <w:overflowPunct/>
        <w:topLinePunct w:val="0"/>
        <w:bidi w:val="0"/>
        <w:snapToGrid w:val="0"/>
        <w:spacing w:line="560" w:lineRule="exact"/>
        <w:ind w:firstLine="600"/>
        <w:textAlignment w:val="auto"/>
        <w:rPr>
          <w:rFonts w:hint="eastAsia" w:ascii="仿宋" w:hAnsi="仿宋" w:eastAsia="仿宋"/>
          <w:b/>
          <w:bCs/>
          <w:color w:val="auto"/>
          <w:sz w:val="30"/>
        </w:rPr>
      </w:pPr>
      <w:r>
        <w:rPr>
          <w:rFonts w:hint="eastAsia" w:ascii="仿宋_GB2312" w:hAnsi="宋体" w:eastAsia="仿宋_GB2312"/>
          <w:color w:val="auto"/>
          <w:sz w:val="32"/>
          <w:szCs w:val="32"/>
        </w:rPr>
        <w:t>任</w:t>
      </w:r>
      <w:r>
        <w:rPr>
          <w:rFonts w:hint="eastAsia" w:ascii="仿宋_GB2312" w:hAnsi="宋体" w:eastAsia="仿宋_GB2312"/>
          <w:color w:val="auto"/>
          <w:sz w:val="32"/>
          <w:szCs w:val="32"/>
          <w:lang w:eastAsia="zh-CN"/>
        </w:rPr>
        <w:t>现</w:t>
      </w:r>
      <w:r>
        <w:rPr>
          <w:rFonts w:hint="eastAsia" w:ascii="仿宋_GB2312" w:hAnsi="宋体" w:eastAsia="仿宋_GB2312"/>
          <w:color w:val="auto"/>
          <w:sz w:val="32"/>
          <w:szCs w:val="32"/>
        </w:rPr>
        <w:t>职</w:t>
      </w:r>
      <w:r>
        <w:rPr>
          <w:rFonts w:hint="eastAsia" w:ascii="仿宋_GB2312" w:hAnsi="宋体" w:eastAsia="仿宋_GB2312"/>
          <w:color w:val="auto"/>
          <w:sz w:val="32"/>
          <w:szCs w:val="32"/>
          <w:lang w:eastAsia="zh-CN"/>
        </w:rPr>
        <w:t>称等级前</w:t>
      </w:r>
      <w:r>
        <w:rPr>
          <w:rFonts w:hint="eastAsia" w:ascii="仿宋_GB2312" w:hAnsi="宋体" w:eastAsia="仿宋_GB2312"/>
          <w:color w:val="auto"/>
          <w:sz w:val="32"/>
          <w:szCs w:val="32"/>
          <w:lang w:val="en-US" w:eastAsia="zh-CN"/>
        </w:rPr>
        <w:t>0.2分/年，任现职称等级后0.5分/年。</w:t>
      </w:r>
    </w:p>
    <w:p>
      <w:pPr>
        <w:keepNext w:val="0"/>
        <w:keepLines w:val="0"/>
        <w:pageBreakBefore w:val="0"/>
        <w:widowControl w:val="0"/>
        <w:kinsoku/>
        <w:wordWrap/>
        <w:overflowPunct/>
        <w:topLinePunct w:val="0"/>
        <w:bidi w:val="0"/>
        <w:snapToGrid w:val="0"/>
        <w:spacing w:line="560" w:lineRule="exact"/>
        <w:ind w:firstLine="602" w:firstLineChars="200"/>
        <w:textAlignment w:val="auto"/>
        <w:rPr>
          <w:rFonts w:hint="default" w:ascii="仿宋" w:hAnsi="仿宋" w:eastAsia="仿宋"/>
          <w:b/>
          <w:bCs/>
          <w:color w:val="auto"/>
          <w:sz w:val="30"/>
          <w:lang w:val="en-US" w:eastAsia="zh-CN"/>
        </w:rPr>
      </w:pPr>
      <w:r>
        <w:rPr>
          <w:rFonts w:hint="eastAsia" w:ascii="仿宋" w:hAnsi="仿宋" w:eastAsia="仿宋"/>
          <w:b/>
          <w:bCs/>
          <w:color w:val="auto"/>
          <w:sz w:val="30"/>
          <w:lang w:val="en-US" w:eastAsia="zh-CN"/>
        </w:rPr>
        <w:t>3</w:t>
      </w:r>
      <w:r>
        <w:rPr>
          <w:rFonts w:hint="eastAsia" w:ascii="仿宋" w:hAnsi="仿宋" w:eastAsia="仿宋"/>
          <w:b/>
          <w:bCs/>
          <w:color w:val="auto"/>
          <w:sz w:val="30"/>
        </w:rPr>
        <w:t>.</w:t>
      </w:r>
      <w:r>
        <w:rPr>
          <w:rFonts w:hint="eastAsia" w:ascii="仿宋" w:hAnsi="仿宋" w:eastAsia="仿宋"/>
          <w:b/>
          <w:bCs/>
          <w:color w:val="auto"/>
          <w:sz w:val="30"/>
          <w:lang w:val="en-US" w:eastAsia="zh-CN"/>
        </w:rPr>
        <w:t>教师考核评价</w:t>
      </w:r>
      <w:r>
        <w:rPr>
          <w:rFonts w:hint="eastAsia" w:ascii="仿宋" w:hAnsi="仿宋" w:eastAsia="仿宋"/>
          <w:b/>
          <w:bCs/>
          <w:color w:val="auto"/>
          <w:sz w:val="30"/>
          <w:lang w:eastAsia="zh-CN"/>
        </w:rPr>
        <w:t>（</w:t>
      </w:r>
      <w:r>
        <w:rPr>
          <w:rFonts w:hint="eastAsia" w:ascii="仿宋" w:hAnsi="仿宋" w:eastAsia="仿宋"/>
          <w:b/>
          <w:bCs/>
          <w:color w:val="auto"/>
          <w:sz w:val="30"/>
          <w:lang w:val="en-US" w:eastAsia="zh-CN"/>
        </w:rPr>
        <w:t>6</w:t>
      </w:r>
      <w:r>
        <w:rPr>
          <w:rFonts w:hint="eastAsia" w:ascii="仿宋" w:hAnsi="仿宋" w:eastAsia="仿宋"/>
          <w:b/>
          <w:bCs/>
          <w:color w:val="auto"/>
          <w:sz w:val="30"/>
        </w:rPr>
        <w:t>分</w:t>
      </w:r>
      <w:r>
        <w:rPr>
          <w:rFonts w:hint="eastAsia" w:ascii="仿宋" w:hAnsi="仿宋" w:eastAsia="仿宋"/>
          <w:b/>
          <w:bCs/>
          <w:color w:val="auto"/>
          <w:sz w:val="30"/>
          <w:lang w:eastAsia="zh-CN"/>
        </w:rPr>
        <w:t>）</w:t>
      </w:r>
    </w:p>
    <w:p>
      <w:pPr>
        <w:keepNext w:val="0"/>
        <w:keepLines w:val="0"/>
        <w:pageBreakBefore w:val="0"/>
        <w:widowControl w:val="0"/>
        <w:kinsoku/>
        <w:wordWrap/>
        <w:overflowPunct/>
        <w:topLinePunct w:val="0"/>
        <w:bidi w:val="0"/>
        <w:snapToGrid w:val="0"/>
        <w:spacing w:line="56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任现职期间，教师考核评价结果</w:t>
      </w:r>
      <w:r>
        <w:rPr>
          <w:rFonts w:hint="eastAsia" w:ascii="仿宋_GB2312" w:hAnsi="宋体" w:eastAsia="仿宋_GB2312"/>
          <w:color w:val="auto"/>
          <w:sz w:val="32"/>
          <w:szCs w:val="32"/>
        </w:rPr>
        <w:t>为</w:t>
      </w:r>
      <w:r>
        <w:rPr>
          <w:rFonts w:hint="eastAsia" w:ascii="仿宋_GB2312" w:hAnsi="宋体" w:eastAsia="仿宋_GB2312"/>
          <w:color w:val="auto"/>
          <w:sz w:val="32"/>
          <w:szCs w:val="32"/>
          <w:lang w:val="en-US" w:eastAsia="zh-CN"/>
        </w:rPr>
        <w:t>优秀等次的，计1分/次；教师考核评价结果为良好</w:t>
      </w:r>
      <w:r>
        <w:rPr>
          <w:rFonts w:hint="eastAsia" w:ascii="仿宋_GB2312" w:hAnsi="宋体" w:eastAsia="仿宋_GB2312"/>
          <w:color w:val="auto"/>
          <w:sz w:val="32"/>
          <w:szCs w:val="32"/>
        </w:rPr>
        <w:t>等次的</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计</w:t>
      </w:r>
      <w:r>
        <w:rPr>
          <w:rFonts w:hint="eastAsia" w:ascii="仿宋_GB2312" w:hAnsi="宋体" w:eastAsia="仿宋_GB2312"/>
          <w:color w:val="auto"/>
          <w:sz w:val="32"/>
          <w:szCs w:val="32"/>
          <w:lang w:val="en-US" w:eastAsia="zh-CN"/>
        </w:rPr>
        <w:t>0</w:t>
      </w: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8</w:t>
      </w:r>
      <w:r>
        <w:rPr>
          <w:rFonts w:hint="eastAsia" w:ascii="仿宋_GB2312" w:hAnsi="宋体" w:eastAsia="仿宋_GB2312"/>
          <w:color w:val="auto"/>
          <w:sz w:val="32"/>
          <w:szCs w:val="32"/>
        </w:rPr>
        <w:t>分</w:t>
      </w:r>
      <w:r>
        <w:rPr>
          <w:rFonts w:hint="eastAsia" w:ascii="仿宋_GB2312" w:hAnsi="宋体" w:eastAsia="仿宋_GB2312"/>
          <w:color w:val="auto"/>
          <w:sz w:val="32"/>
          <w:szCs w:val="32"/>
          <w:lang w:val="en-US" w:eastAsia="zh-CN"/>
        </w:rPr>
        <w:t>/次</w:t>
      </w: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教师</w:t>
      </w:r>
      <w:r>
        <w:rPr>
          <w:rFonts w:hint="eastAsia" w:ascii="仿宋_GB2312" w:hAnsi="宋体" w:eastAsia="仿宋_GB2312"/>
          <w:color w:val="auto"/>
          <w:sz w:val="32"/>
          <w:szCs w:val="32"/>
          <w:lang w:eastAsia="zh-CN"/>
        </w:rPr>
        <w:t>考核</w:t>
      </w:r>
      <w:r>
        <w:rPr>
          <w:rFonts w:hint="eastAsia" w:ascii="仿宋_GB2312" w:hAnsi="宋体" w:eastAsia="仿宋_GB2312"/>
          <w:color w:val="auto"/>
          <w:sz w:val="32"/>
          <w:szCs w:val="32"/>
          <w:lang w:val="en-US" w:eastAsia="zh-CN"/>
        </w:rPr>
        <w:t>评价结果</w:t>
      </w:r>
      <w:r>
        <w:rPr>
          <w:rFonts w:hint="eastAsia" w:ascii="仿宋_GB2312" w:hAnsi="宋体" w:eastAsia="仿宋_GB2312"/>
          <w:color w:val="auto"/>
          <w:sz w:val="32"/>
          <w:szCs w:val="32"/>
        </w:rPr>
        <w:t>为</w:t>
      </w:r>
      <w:r>
        <w:rPr>
          <w:rFonts w:hint="eastAsia" w:ascii="仿宋_GB2312" w:hAnsi="宋体" w:eastAsia="仿宋_GB2312"/>
          <w:color w:val="auto"/>
          <w:sz w:val="32"/>
          <w:szCs w:val="32"/>
          <w:lang w:eastAsia="zh-CN"/>
        </w:rPr>
        <w:t>合格</w:t>
      </w:r>
      <w:r>
        <w:rPr>
          <w:rFonts w:hint="eastAsia" w:ascii="仿宋_GB2312" w:hAnsi="宋体" w:eastAsia="仿宋_GB2312"/>
          <w:color w:val="auto"/>
          <w:sz w:val="32"/>
          <w:szCs w:val="32"/>
        </w:rPr>
        <w:t>等次的</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计</w:t>
      </w:r>
      <w:r>
        <w:rPr>
          <w:rFonts w:ascii="仿宋_GB2312" w:hAnsi="宋体" w:eastAsia="仿宋_GB2312"/>
          <w:color w:val="auto"/>
          <w:sz w:val="32"/>
          <w:szCs w:val="32"/>
        </w:rPr>
        <w:t>0.</w:t>
      </w:r>
      <w:r>
        <w:rPr>
          <w:rFonts w:hint="eastAsia" w:ascii="仿宋_GB2312" w:hAnsi="宋体" w:eastAsia="仿宋_GB2312"/>
          <w:color w:val="auto"/>
          <w:sz w:val="32"/>
          <w:szCs w:val="32"/>
          <w:lang w:val="en-US" w:eastAsia="zh-CN"/>
        </w:rPr>
        <w:t>6</w:t>
      </w:r>
      <w:r>
        <w:rPr>
          <w:rFonts w:hint="eastAsia" w:ascii="仿宋_GB2312" w:hAnsi="宋体" w:eastAsia="仿宋_GB2312"/>
          <w:color w:val="auto"/>
          <w:sz w:val="32"/>
          <w:szCs w:val="32"/>
        </w:rPr>
        <w:t>分</w:t>
      </w:r>
      <w:r>
        <w:rPr>
          <w:rFonts w:hint="eastAsia" w:ascii="仿宋_GB2312" w:hAnsi="宋体" w:eastAsia="仿宋_GB2312"/>
          <w:color w:val="auto"/>
          <w:sz w:val="32"/>
          <w:szCs w:val="32"/>
          <w:lang w:val="en-US" w:eastAsia="zh-CN"/>
        </w:rPr>
        <w:t>/次</w:t>
      </w:r>
      <w:r>
        <w:rPr>
          <w:rFonts w:hint="eastAsia" w:ascii="仿宋_GB2312" w:hAnsi="宋体" w:eastAsia="仿宋_GB2312"/>
          <w:color w:val="auto"/>
          <w:sz w:val="32"/>
          <w:szCs w:val="32"/>
        </w:rPr>
        <w:t>。</w:t>
      </w:r>
    </w:p>
    <w:p>
      <w:pPr>
        <w:keepNext w:val="0"/>
        <w:keepLines w:val="0"/>
        <w:pageBreakBefore w:val="0"/>
        <w:widowControl w:val="0"/>
        <w:kinsoku/>
        <w:wordWrap/>
        <w:overflowPunct/>
        <w:topLinePunct w:val="0"/>
        <w:bidi w:val="0"/>
        <w:snapToGrid w:val="0"/>
        <w:spacing w:line="560" w:lineRule="exact"/>
        <w:ind w:firstLine="640" w:firstLineChars="200"/>
        <w:textAlignment w:val="auto"/>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注：因学院教师考核评价自2022年起试行，任现职期间，未有教师考核评价结果的年度，此项分值以学院年度考核结果计算，年度考核结果为优秀等次的，计1分/次；年度考核结果为合格等次的，计0.8分/次。</w:t>
      </w:r>
    </w:p>
    <w:p>
      <w:pPr>
        <w:keepNext w:val="0"/>
        <w:keepLines w:val="0"/>
        <w:pageBreakBefore w:val="0"/>
        <w:widowControl w:val="0"/>
        <w:kinsoku/>
        <w:wordWrap/>
        <w:overflowPunct/>
        <w:topLinePunct w:val="0"/>
        <w:bidi w:val="0"/>
        <w:snapToGrid w:val="0"/>
        <w:spacing w:line="560" w:lineRule="exact"/>
        <w:ind w:firstLine="600"/>
        <w:textAlignment w:val="auto"/>
        <w:rPr>
          <w:rFonts w:ascii="仿宋" w:hAnsi="仿宋" w:eastAsia="仿宋"/>
          <w:b/>
          <w:color w:val="auto"/>
          <w:sz w:val="30"/>
        </w:rPr>
      </w:pPr>
      <w:r>
        <w:rPr>
          <w:rFonts w:hint="eastAsia" w:ascii="仿宋" w:hAnsi="仿宋" w:eastAsia="仿宋"/>
          <w:b/>
          <w:color w:val="auto"/>
          <w:sz w:val="30"/>
          <w:lang w:val="en-US" w:eastAsia="zh-CN"/>
        </w:rPr>
        <w:t>4</w:t>
      </w:r>
      <w:r>
        <w:rPr>
          <w:rFonts w:hint="eastAsia" w:ascii="仿宋" w:hAnsi="仿宋" w:eastAsia="仿宋"/>
          <w:b/>
          <w:color w:val="auto"/>
          <w:sz w:val="30"/>
        </w:rPr>
        <w:t>.继续教育（</w:t>
      </w:r>
      <w:r>
        <w:rPr>
          <w:rFonts w:hint="eastAsia" w:ascii="仿宋" w:hAnsi="仿宋" w:eastAsia="仿宋"/>
          <w:b/>
          <w:color w:val="auto"/>
          <w:sz w:val="30"/>
          <w:lang w:val="en-US" w:eastAsia="zh-CN"/>
        </w:rPr>
        <w:t>2</w:t>
      </w:r>
      <w:r>
        <w:rPr>
          <w:rFonts w:hint="eastAsia" w:ascii="仿宋" w:hAnsi="仿宋" w:eastAsia="仿宋"/>
          <w:b/>
          <w:color w:val="auto"/>
          <w:sz w:val="30"/>
        </w:rPr>
        <w:t>分）</w:t>
      </w:r>
    </w:p>
    <w:p>
      <w:pPr>
        <w:keepNext w:val="0"/>
        <w:keepLines w:val="0"/>
        <w:pageBreakBefore w:val="0"/>
        <w:widowControl w:val="0"/>
        <w:kinsoku/>
        <w:wordWrap/>
        <w:overflowPunct/>
        <w:topLinePunct w:val="0"/>
        <w:bidi w:val="0"/>
        <w:snapToGrid w:val="0"/>
        <w:spacing w:line="560" w:lineRule="exact"/>
        <w:ind w:firstLine="640" w:firstLineChars="200"/>
        <w:textAlignment w:val="auto"/>
        <w:rPr>
          <w:rFonts w:ascii="仿宋_GB2312" w:hAnsi="宋体" w:eastAsia="仿宋_GB2312"/>
          <w:color w:val="auto"/>
          <w:sz w:val="32"/>
          <w:szCs w:val="32"/>
        </w:rPr>
      </w:pPr>
      <w:r>
        <w:rPr>
          <w:rFonts w:hint="eastAsia" w:ascii="仿宋_GB2312" w:hAnsi="宋体" w:eastAsia="仿宋_GB2312"/>
          <w:color w:val="auto"/>
          <w:sz w:val="32"/>
          <w:szCs w:val="32"/>
        </w:rPr>
        <w:t>积极参加各类业务提升及能力提升培训。包括国家、省组织的师资培训，学校组织的能力提升培训（含校本培训和教师假期企业实践），上级主管部门组织的业务培训等。</w:t>
      </w:r>
    </w:p>
    <w:p>
      <w:pPr>
        <w:keepNext w:val="0"/>
        <w:keepLines w:val="0"/>
        <w:pageBreakBefore w:val="0"/>
        <w:widowControl w:val="0"/>
        <w:kinsoku/>
        <w:wordWrap/>
        <w:overflowPunct/>
        <w:topLinePunct w:val="0"/>
        <w:bidi w:val="0"/>
        <w:snapToGrid w:val="0"/>
        <w:spacing w:line="560" w:lineRule="exact"/>
        <w:ind w:firstLine="640" w:firstLineChars="200"/>
        <w:textAlignment w:val="auto"/>
        <w:rPr>
          <w:rFonts w:ascii="仿宋_GB2312" w:hAnsi="宋体" w:eastAsia="仿宋_GB2312"/>
          <w:color w:val="auto"/>
          <w:sz w:val="32"/>
          <w:szCs w:val="32"/>
        </w:rPr>
      </w:pPr>
      <w:r>
        <w:rPr>
          <w:rFonts w:hint="eastAsia" w:ascii="仿宋_GB2312" w:hAnsi="宋体" w:eastAsia="仿宋_GB2312"/>
          <w:color w:val="auto"/>
          <w:sz w:val="32"/>
          <w:szCs w:val="32"/>
        </w:rPr>
        <w:t>1）参加河北省专业技术人员公需科目继续教育在线培训每次（以证书为准）计0.3分。</w:t>
      </w:r>
    </w:p>
    <w:p>
      <w:pPr>
        <w:keepNext w:val="0"/>
        <w:keepLines w:val="0"/>
        <w:pageBreakBefore w:val="0"/>
        <w:widowControl w:val="0"/>
        <w:kinsoku/>
        <w:wordWrap/>
        <w:overflowPunct/>
        <w:topLinePunct w:val="0"/>
        <w:bidi w:val="0"/>
        <w:snapToGrid w:val="0"/>
        <w:spacing w:line="560" w:lineRule="exact"/>
        <w:ind w:firstLine="640" w:firstLineChars="200"/>
        <w:textAlignment w:val="auto"/>
        <w:rPr>
          <w:rFonts w:ascii="仿宋_GB2312" w:hAnsi="宋体" w:eastAsia="仿宋_GB2312"/>
          <w:color w:val="auto"/>
          <w:sz w:val="32"/>
          <w:szCs w:val="32"/>
        </w:rPr>
      </w:pPr>
      <w:r>
        <w:rPr>
          <w:rFonts w:hint="eastAsia" w:ascii="仿宋_GB2312" w:hAnsi="宋体" w:eastAsia="仿宋_GB2312"/>
          <w:color w:val="auto"/>
          <w:sz w:val="32"/>
          <w:szCs w:val="32"/>
        </w:rPr>
        <w:t>2）参加骨干教师培训的，国家级培训每次1分，省级培训每次0.5分（以证书为准），出国培训视同国家级培训。</w:t>
      </w:r>
    </w:p>
    <w:p>
      <w:pPr>
        <w:keepNext w:val="0"/>
        <w:keepLines w:val="0"/>
        <w:pageBreakBefore w:val="0"/>
        <w:widowControl w:val="0"/>
        <w:kinsoku/>
        <w:wordWrap/>
        <w:overflowPunct/>
        <w:topLinePunct w:val="0"/>
        <w:bidi w:val="0"/>
        <w:snapToGrid w:val="0"/>
        <w:spacing w:line="560" w:lineRule="exact"/>
        <w:ind w:firstLine="640" w:firstLineChars="200"/>
        <w:textAlignment w:val="auto"/>
        <w:rPr>
          <w:rFonts w:ascii="仿宋_GB2312" w:hAnsi="宋体" w:eastAsia="仿宋_GB2312"/>
          <w:color w:val="auto"/>
          <w:sz w:val="32"/>
          <w:szCs w:val="32"/>
        </w:rPr>
      </w:pPr>
      <w:r>
        <w:rPr>
          <w:rFonts w:hint="eastAsia" w:ascii="仿宋_GB2312" w:hAnsi="宋体" w:eastAsia="仿宋_GB2312"/>
          <w:color w:val="auto"/>
          <w:sz w:val="32"/>
          <w:szCs w:val="32"/>
        </w:rPr>
        <w:t>3）参加校本培训每30学时（教务处记录为准）计0.3分。</w:t>
      </w:r>
    </w:p>
    <w:p>
      <w:pPr>
        <w:keepNext w:val="0"/>
        <w:keepLines w:val="0"/>
        <w:pageBreakBefore w:val="0"/>
        <w:widowControl w:val="0"/>
        <w:kinsoku/>
        <w:wordWrap/>
        <w:overflowPunct/>
        <w:topLinePunct w:val="0"/>
        <w:bidi w:val="0"/>
        <w:snapToGrid w:val="0"/>
        <w:spacing w:line="560" w:lineRule="exact"/>
        <w:ind w:firstLine="640" w:firstLineChars="200"/>
        <w:textAlignment w:val="auto"/>
        <w:rPr>
          <w:rFonts w:ascii="仿宋_GB2312" w:hAnsi="宋体" w:eastAsia="仿宋_GB2312"/>
          <w:color w:val="auto"/>
          <w:sz w:val="32"/>
          <w:szCs w:val="32"/>
        </w:rPr>
      </w:pPr>
      <w:r>
        <w:rPr>
          <w:rFonts w:hint="eastAsia" w:ascii="仿宋_GB2312" w:hAnsi="宋体" w:eastAsia="仿宋_GB2312"/>
          <w:color w:val="auto"/>
          <w:sz w:val="32"/>
          <w:szCs w:val="32"/>
        </w:rPr>
        <w:t>4）参加学校组织的业务技能培训，经考核合格给予证书的每次0.3分。以证书为准，由教务处（学工处）提供。证书由教务处（学工处）申请，党政办同意备案后加盖学院公章。</w:t>
      </w:r>
    </w:p>
    <w:p>
      <w:pPr>
        <w:keepNext w:val="0"/>
        <w:keepLines w:val="0"/>
        <w:pageBreakBefore w:val="0"/>
        <w:widowControl w:val="0"/>
        <w:kinsoku/>
        <w:wordWrap/>
        <w:overflowPunct/>
        <w:topLinePunct w:val="0"/>
        <w:bidi w:val="0"/>
        <w:snapToGrid w:val="0"/>
        <w:spacing w:line="560" w:lineRule="exact"/>
        <w:ind w:firstLine="640" w:firstLineChars="200"/>
        <w:textAlignment w:val="auto"/>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rPr>
        <w:t>5）专业教师参加企业实践时间（一年一个月）达标的。每年记0.5分</w:t>
      </w:r>
      <w:r>
        <w:rPr>
          <w:rFonts w:hint="eastAsia" w:ascii="仿宋_GB2312" w:hAnsi="宋体" w:eastAsia="仿宋_GB2312"/>
          <w:color w:val="auto"/>
          <w:sz w:val="32"/>
          <w:szCs w:val="32"/>
          <w:lang w:eastAsia="zh-CN"/>
        </w:rPr>
        <w:t>。</w:t>
      </w:r>
    </w:p>
    <w:p>
      <w:pPr>
        <w:keepNext w:val="0"/>
        <w:keepLines w:val="0"/>
        <w:pageBreakBefore w:val="0"/>
        <w:widowControl w:val="0"/>
        <w:kinsoku/>
        <w:wordWrap/>
        <w:overflowPunct/>
        <w:topLinePunct w:val="0"/>
        <w:bidi w:val="0"/>
        <w:snapToGrid w:val="0"/>
        <w:spacing w:line="560" w:lineRule="exact"/>
        <w:ind w:firstLine="640" w:firstLineChars="200"/>
        <w:textAlignment w:val="auto"/>
        <w:rPr>
          <w:rFonts w:hint="eastAsia" w:ascii="仿宋_GB2312" w:hAnsi="宋体" w:eastAsia="仿宋_GB2312"/>
          <w:color w:val="auto"/>
          <w:sz w:val="32"/>
          <w:szCs w:val="32"/>
        </w:rPr>
      </w:pPr>
      <w:r>
        <w:rPr>
          <w:rFonts w:hint="eastAsia" w:ascii="仿宋_GB2312" w:hAnsi="宋体" w:eastAsia="仿宋_GB2312"/>
          <w:color w:val="auto"/>
          <w:sz w:val="32"/>
          <w:szCs w:val="32"/>
        </w:rPr>
        <w:t>6）以提升管理水平和专业能力为目的，由学校派出参加的各级各类培训，并取得证书的，每次计0.3分。</w:t>
      </w:r>
    </w:p>
    <w:p>
      <w:pPr>
        <w:keepNext w:val="0"/>
        <w:keepLines w:val="0"/>
        <w:pageBreakBefore w:val="0"/>
        <w:widowControl w:val="0"/>
        <w:kinsoku/>
        <w:wordWrap/>
        <w:overflowPunct/>
        <w:topLinePunct w:val="0"/>
        <w:autoSpaceDE/>
        <w:autoSpaceDN/>
        <w:bidi w:val="0"/>
        <w:snapToGrid w:val="0"/>
        <w:spacing w:line="560" w:lineRule="exact"/>
        <w:ind w:firstLine="643" w:firstLineChars="200"/>
        <w:textAlignment w:val="auto"/>
        <w:rPr>
          <w:rFonts w:ascii="楷体" w:hAnsi="楷体" w:eastAsia="楷体"/>
          <w:b/>
          <w:color w:val="auto"/>
          <w:sz w:val="32"/>
          <w:szCs w:val="32"/>
        </w:rPr>
      </w:pPr>
      <w:r>
        <w:rPr>
          <w:rFonts w:hint="eastAsia" w:ascii="楷体" w:hAnsi="楷体" w:eastAsia="楷体"/>
          <w:b/>
          <w:color w:val="auto"/>
          <w:sz w:val="32"/>
          <w:szCs w:val="32"/>
          <w:lang w:val="en-US" w:eastAsia="zh-CN"/>
        </w:rPr>
        <w:t>5</w:t>
      </w:r>
      <w:r>
        <w:rPr>
          <w:rFonts w:hint="eastAsia" w:ascii="楷体" w:hAnsi="楷体" w:eastAsia="楷体"/>
          <w:b/>
          <w:color w:val="auto"/>
          <w:sz w:val="32"/>
          <w:szCs w:val="32"/>
        </w:rPr>
        <w:t>.指导能力（3分）</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1</w:t>
      </w:r>
      <w:r>
        <w:rPr>
          <w:rFonts w:hint="eastAsia" w:ascii="仿宋_GB2312" w:hAnsi="宋体" w:eastAsia="仿宋_GB2312" w:cs="宋体"/>
          <w:color w:val="auto"/>
          <w:kern w:val="0"/>
          <w:sz w:val="32"/>
          <w:szCs w:val="32"/>
        </w:rPr>
        <w:t>）被评为人社、教育部门教育教学管理专家的。省（部）级计3分；市（厅）级2分；局（人社局、教育局）级1分。</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w:t>
      </w:r>
      <w:r>
        <w:rPr>
          <w:rFonts w:hint="eastAsia" w:ascii="仿宋_GB2312" w:hAnsi="宋体" w:eastAsia="仿宋_GB2312" w:cs="宋体"/>
          <w:color w:val="auto"/>
          <w:kern w:val="0"/>
          <w:sz w:val="32"/>
          <w:szCs w:val="32"/>
        </w:rPr>
        <w:t>）在教育教学工作中成效显著，在区域内有较大的影响，教育教学经验得到各级教育部门推广的。省（部）级3分；市（厅）级2分；局（人社局、教育局）级1分；校级0.5分。</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3</w:t>
      </w:r>
      <w:r>
        <w:rPr>
          <w:rFonts w:hint="eastAsia" w:ascii="仿宋_GB2312" w:hAnsi="宋体" w:eastAsia="仿宋_GB2312" w:cs="宋体"/>
          <w:color w:val="auto"/>
          <w:kern w:val="0"/>
          <w:sz w:val="32"/>
          <w:szCs w:val="32"/>
        </w:rPr>
        <w:t>）作为学校和上级教育行政部门认定的学科带头人或具备指导能力的教育教学管理人员，带领教师在教学改革、学科发展、教育教学大赛等方面获得优异成绩。省（部）级计3分；市（厅）级2分；局（人社局、教育局）级1分；校级0.5分。</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优异成绩：指优秀教学团队、教学质量奖、教师大赛团队获奖（教练为学校指定人员）、校级“品牌专业教学团队”等。</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4</w:t>
      </w:r>
      <w:r>
        <w:rPr>
          <w:rFonts w:hint="eastAsia" w:ascii="仿宋_GB2312" w:hAnsi="宋体" w:eastAsia="仿宋_GB2312" w:cs="宋体"/>
          <w:color w:val="auto"/>
          <w:kern w:val="0"/>
          <w:sz w:val="32"/>
          <w:szCs w:val="32"/>
        </w:rPr>
        <w:t>）在各级人社、教育行政部门组织的教师培训工作中，被</w:t>
      </w:r>
      <w:r>
        <w:rPr>
          <w:rFonts w:hint="eastAsia" w:ascii="仿宋_GB2312" w:hAnsi="宋体" w:eastAsia="仿宋_GB2312" w:cs="宋体"/>
          <w:color w:val="auto"/>
          <w:kern w:val="0"/>
          <w:sz w:val="32"/>
          <w:szCs w:val="32"/>
          <w:lang w:eastAsia="zh-CN"/>
        </w:rPr>
        <w:t>聘</w:t>
      </w:r>
      <w:r>
        <w:rPr>
          <w:rFonts w:hint="eastAsia" w:ascii="仿宋_GB2312" w:hAnsi="宋体" w:eastAsia="仿宋_GB2312" w:cs="宋体"/>
          <w:color w:val="auto"/>
          <w:kern w:val="0"/>
          <w:sz w:val="32"/>
          <w:szCs w:val="32"/>
        </w:rPr>
        <w:t>为培训教师，且</w:t>
      </w:r>
      <w:r>
        <w:rPr>
          <w:rFonts w:hint="eastAsia" w:ascii="仿宋_GB2312" w:hAnsi="宋体" w:eastAsia="仿宋_GB2312" w:cs="宋体"/>
          <w:color w:val="auto"/>
          <w:kern w:val="0"/>
          <w:sz w:val="32"/>
          <w:szCs w:val="32"/>
          <w:lang w:val="en-US" w:eastAsia="zh-CN"/>
        </w:rPr>
        <w:t>授课</w:t>
      </w:r>
      <w:r>
        <w:rPr>
          <w:rFonts w:hint="eastAsia" w:ascii="仿宋_GB2312" w:hAnsi="宋体" w:eastAsia="仿宋_GB2312" w:cs="宋体"/>
          <w:color w:val="auto"/>
          <w:kern w:val="0"/>
          <w:sz w:val="32"/>
          <w:szCs w:val="32"/>
        </w:rPr>
        <w:t>时间累计不低于</w:t>
      </w:r>
      <w:r>
        <w:rPr>
          <w:rFonts w:ascii="仿宋_GB2312" w:hAnsi="宋体" w:eastAsia="仿宋_GB2312" w:cs="宋体"/>
          <w:color w:val="auto"/>
          <w:kern w:val="0"/>
          <w:sz w:val="32"/>
          <w:szCs w:val="32"/>
        </w:rPr>
        <w:t>20</w:t>
      </w:r>
      <w:r>
        <w:rPr>
          <w:rFonts w:hint="eastAsia" w:ascii="仿宋_GB2312" w:hAnsi="宋体" w:eastAsia="仿宋_GB2312" w:cs="宋体"/>
          <w:color w:val="auto"/>
          <w:kern w:val="0"/>
          <w:sz w:val="32"/>
          <w:szCs w:val="32"/>
        </w:rPr>
        <w:t>学时的。省（部）级计2分；市（厅）级1分；局（人社局、教育局）级0.5分。</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5</w:t>
      </w:r>
      <w:r>
        <w:rPr>
          <w:rFonts w:hint="eastAsia" w:ascii="仿宋_GB2312" w:hAnsi="宋体" w:eastAsia="仿宋_GB2312" w:cs="宋体"/>
          <w:color w:val="auto"/>
          <w:kern w:val="0"/>
          <w:sz w:val="32"/>
          <w:szCs w:val="32"/>
        </w:rPr>
        <w:t>）在学校青年教师培养中，被聘为“师傅”的指导教师，认真负责完成指导任务的。带“徒弟”每人每次计为</w:t>
      </w:r>
      <w:r>
        <w:rPr>
          <w:rFonts w:hint="eastAsia" w:ascii="仿宋_GB2312" w:hAnsi="宋体" w:eastAsia="仿宋_GB2312" w:cs="宋体"/>
          <w:color w:val="auto"/>
          <w:kern w:val="0"/>
          <w:sz w:val="32"/>
          <w:szCs w:val="32"/>
          <w:lang w:val="en-US" w:eastAsia="zh-CN"/>
        </w:rPr>
        <w:t>0.2</w:t>
      </w:r>
      <w:r>
        <w:rPr>
          <w:rFonts w:hint="eastAsia" w:ascii="仿宋_GB2312" w:hAnsi="宋体" w:eastAsia="仿宋_GB2312" w:cs="宋体"/>
          <w:color w:val="auto"/>
          <w:kern w:val="0"/>
          <w:sz w:val="32"/>
          <w:szCs w:val="32"/>
        </w:rPr>
        <w:t>分，以聘书为准。</w:t>
      </w:r>
    </w:p>
    <w:p>
      <w:pPr>
        <w:keepNext w:val="0"/>
        <w:keepLines w:val="0"/>
        <w:pageBreakBefore w:val="0"/>
        <w:widowControl w:val="0"/>
        <w:kinsoku/>
        <w:wordWrap/>
        <w:overflowPunct/>
        <w:topLinePunct w:val="0"/>
        <w:autoSpaceDE/>
        <w:autoSpaceDN/>
        <w:bidi w:val="0"/>
        <w:snapToGrid w:val="0"/>
        <w:spacing w:line="560" w:lineRule="exact"/>
        <w:ind w:firstLine="643" w:firstLineChars="200"/>
        <w:textAlignment w:val="auto"/>
        <w:rPr>
          <w:rFonts w:ascii="楷体" w:hAnsi="楷体" w:eastAsia="楷体"/>
          <w:b/>
          <w:color w:val="auto"/>
          <w:sz w:val="32"/>
          <w:szCs w:val="32"/>
        </w:rPr>
      </w:pPr>
      <w:r>
        <w:rPr>
          <w:rFonts w:hint="eastAsia" w:ascii="楷体" w:hAnsi="楷体" w:eastAsia="楷体"/>
          <w:b/>
          <w:color w:val="auto"/>
          <w:sz w:val="32"/>
          <w:szCs w:val="32"/>
          <w:lang w:val="en-US" w:eastAsia="zh-CN"/>
        </w:rPr>
        <w:t>6</w:t>
      </w:r>
      <w:r>
        <w:rPr>
          <w:rFonts w:hint="eastAsia" w:ascii="楷体" w:hAnsi="楷体" w:eastAsia="楷体"/>
          <w:b/>
          <w:color w:val="auto"/>
          <w:sz w:val="32"/>
          <w:szCs w:val="32"/>
        </w:rPr>
        <w:t>.</w:t>
      </w:r>
      <w:r>
        <w:rPr>
          <w:rFonts w:hint="eastAsia" w:ascii="楷体" w:hAnsi="楷体" w:eastAsia="楷体"/>
          <w:b/>
          <w:color w:val="auto"/>
          <w:sz w:val="32"/>
          <w:szCs w:val="32"/>
          <w:lang w:val="en-US" w:eastAsia="zh-CN"/>
        </w:rPr>
        <w:t>育人工作经历</w:t>
      </w:r>
      <w:r>
        <w:rPr>
          <w:rFonts w:hint="eastAsia" w:ascii="楷体" w:hAnsi="楷体" w:eastAsia="楷体"/>
          <w:b/>
          <w:color w:val="auto"/>
          <w:sz w:val="32"/>
          <w:szCs w:val="32"/>
        </w:rPr>
        <w:t>（</w:t>
      </w:r>
      <w:r>
        <w:rPr>
          <w:rFonts w:hint="eastAsia" w:ascii="楷体" w:hAnsi="楷体" w:eastAsia="楷体"/>
          <w:b/>
          <w:color w:val="auto"/>
          <w:sz w:val="32"/>
          <w:szCs w:val="32"/>
          <w:lang w:val="en-US" w:eastAsia="zh-CN"/>
        </w:rPr>
        <w:t>2</w:t>
      </w:r>
      <w:r>
        <w:rPr>
          <w:rFonts w:hint="eastAsia" w:ascii="楷体" w:hAnsi="楷体" w:eastAsia="楷体"/>
          <w:b/>
          <w:color w:val="auto"/>
          <w:sz w:val="32"/>
          <w:szCs w:val="32"/>
        </w:rPr>
        <w:t>分）</w:t>
      </w:r>
    </w:p>
    <w:p>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任现职以来，担任辅导员的（包括专、兼职辅导员。中专部班主任经历视同高职部辅导员），计0.2分/学年，半学年计0.1分，少于半学年不计分</w:t>
      </w:r>
      <w:r>
        <w:rPr>
          <w:rFonts w:hint="eastAsia" w:ascii="仿宋_GB2312" w:hAnsi="宋体" w:eastAsia="仿宋_GB2312" w:cs="宋体"/>
          <w:color w:val="auto"/>
          <w:kern w:val="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599" w:firstLineChars="199"/>
        <w:textAlignment w:val="auto"/>
        <w:rPr>
          <w:rFonts w:ascii="仿宋" w:hAnsi="仿宋" w:eastAsia="仿宋"/>
          <w:b/>
          <w:color w:val="auto"/>
          <w:sz w:val="30"/>
        </w:rPr>
      </w:pPr>
      <w:r>
        <w:rPr>
          <w:rFonts w:hint="eastAsia" w:ascii="仿宋" w:hAnsi="仿宋" w:eastAsia="仿宋"/>
          <w:b/>
          <w:color w:val="auto"/>
          <w:sz w:val="30"/>
          <w:lang w:val="en-US" w:eastAsia="zh-CN"/>
        </w:rPr>
        <w:t>7.综合类</w:t>
      </w:r>
      <w:r>
        <w:rPr>
          <w:rFonts w:hint="eastAsia" w:ascii="仿宋" w:hAnsi="仿宋" w:eastAsia="仿宋"/>
          <w:b/>
          <w:color w:val="auto"/>
          <w:sz w:val="30"/>
        </w:rPr>
        <w:t>荣誉称号及表彰奖励（8分）</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eastAsia="zh-CN"/>
        </w:rPr>
        <w:t>指除业绩成果项中重点人才工程项目及荣誉称号外的其他荣誉称号及表彰奖励。</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获得国家级个人荣誉称号及表彰奖励的5分、省（部）级3分、市（厅）级2分、局级奖励1分、校级0.5分。</w:t>
      </w:r>
    </w:p>
    <w:p>
      <w:pPr>
        <w:keepNext w:val="0"/>
        <w:keepLines w:val="0"/>
        <w:pageBreakBefore w:val="0"/>
        <w:widowControl w:val="0"/>
        <w:kinsoku/>
        <w:wordWrap/>
        <w:overflowPunct/>
        <w:topLinePunct w:val="0"/>
        <w:autoSpaceDE/>
        <w:autoSpaceDN/>
        <w:bidi w:val="0"/>
        <w:adjustRightInd/>
        <w:snapToGrid w:val="0"/>
        <w:spacing w:line="560" w:lineRule="exact"/>
        <w:ind w:firstLine="602" w:firstLineChars="200"/>
        <w:textAlignment w:val="auto"/>
        <w:rPr>
          <w:rFonts w:ascii="仿宋" w:hAnsi="仿宋" w:eastAsia="仿宋"/>
          <w:b/>
          <w:color w:val="auto"/>
          <w:sz w:val="30"/>
        </w:rPr>
      </w:pPr>
      <w:r>
        <w:rPr>
          <w:rFonts w:hint="eastAsia" w:ascii="仿宋" w:hAnsi="仿宋" w:eastAsia="仿宋"/>
          <w:b/>
          <w:color w:val="auto"/>
          <w:sz w:val="30"/>
        </w:rPr>
        <w:t>说明：</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1</w:t>
      </w:r>
      <w:r>
        <w:rPr>
          <w:rFonts w:hint="eastAsia" w:ascii="仿宋_GB2312" w:hAnsi="宋体" w:eastAsia="仿宋_GB2312" w:cs="宋体"/>
          <w:color w:val="auto"/>
          <w:kern w:val="0"/>
          <w:sz w:val="32"/>
          <w:szCs w:val="32"/>
        </w:rPr>
        <w:t>）国家级奖励指中共中央、国务院颁发的奖励；省（部）级奖励指省委、省政府和中共中央、国务院下设部级部门颁发的奖励；市（厅）级奖励指市委、市政府和省委、省政府下设厅级部门颁发的奖励；局级奖励指市委、市政府下设的局级部门颁发的奖励；</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w:t>
      </w:r>
      <w:r>
        <w:rPr>
          <w:rFonts w:hint="eastAsia" w:ascii="仿宋_GB2312" w:hAnsi="宋体" w:eastAsia="仿宋_GB2312" w:cs="宋体"/>
          <w:color w:val="auto"/>
          <w:kern w:val="0"/>
          <w:sz w:val="32"/>
          <w:szCs w:val="32"/>
        </w:rPr>
        <w:t>）县、区、学校奖励按校级奖励计分；</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3</w:t>
      </w:r>
      <w:r>
        <w:rPr>
          <w:rFonts w:hint="eastAsia" w:ascii="仿宋_GB2312" w:hAnsi="宋体" w:eastAsia="仿宋_GB2312" w:cs="宋体"/>
          <w:color w:val="auto"/>
          <w:kern w:val="0"/>
          <w:sz w:val="32"/>
          <w:szCs w:val="32"/>
        </w:rPr>
        <w:t>）年度考核</w:t>
      </w:r>
      <w:r>
        <w:rPr>
          <w:rFonts w:hint="eastAsia" w:ascii="仿宋_GB2312" w:hAnsi="宋体" w:eastAsia="仿宋_GB2312" w:cs="宋体"/>
          <w:color w:val="auto"/>
          <w:kern w:val="0"/>
          <w:sz w:val="32"/>
          <w:szCs w:val="32"/>
          <w:lang w:val="en-US" w:eastAsia="zh-CN"/>
        </w:rPr>
        <w:t>奖励</w:t>
      </w:r>
      <w:r>
        <w:rPr>
          <w:rFonts w:hint="eastAsia" w:ascii="仿宋_GB2312" w:hAnsi="宋体" w:eastAsia="仿宋_GB2312" w:cs="宋体"/>
          <w:color w:val="auto"/>
          <w:kern w:val="0"/>
          <w:sz w:val="32"/>
          <w:szCs w:val="32"/>
        </w:rPr>
        <w:t>结果（市政府的二、三等功，人社局嘉奖）不作为奖励项目参加此项计分</w:t>
      </w:r>
      <w:r>
        <w:rPr>
          <w:rFonts w:ascii="仿宋_GB2312" w:hAnsi="宋体" w:eastAsia="仿宋_GB2312" w:cs="宋体"/>
          <w:color w:val="auto"/>
          <w:kern w:val="0"/>
          <w:sz w:val="32"/>
          <w:szCs w:val="32"/>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4</w:t>
      </w:r>
      <w:r>
        <w:rPr>
          <w:rFonts w:hint="eastAsia" w:ascii="仿宋_GB2312" w:hAnsi="宋体" w:eastAsia="仿宋_GB2312" w:cs="宋体"/>
          <w:color w:val="auto"/>
          <w:kern w:val="0"/>
          <w:sz w:val="32"/>
          <w:szCs w:val="32"/>
        </w:rPr>
        <w:t>）以上奖励均为与本职工作有关，且为任现职以来所获得的，同一事迹获不同级别奖励，按最高级别加分，不重复计分；</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宋体" w:eastAsia="仿宋_GB2312"/>
          <w:color w:val="auto"/>
          <w:sz w:val="32"/>
          <w:szCs w:val="32"/>
        </w:rPr>
      </w:pPr>
      <w:r>
        <w:rPr>
          <w:rFonts w:ascii="仿宋_GB2312" w:hAnsi="宋体" w:eastAsia="仿宋_GB2312" w:cs="宋体"/>
          <w:color w:val="auto"/>
          <w:kern w:val="0"/>
          <w:sz w:val="32"/>
          <w:szCs w:val="32"/>
        </w:rPr>
        <w:t>5</w:t>
      </w:r>
      <w:r>
        <w:rPr>
          <w:rFonts w:hint="eastAsia" w:ascii="仿宋_GB2312" w:hAnsi="宋体" w:eastAsia="仿宋_GB2312" w:cs="宋体"/>
          <w:color w:val="auto"/>
          <w:kern w:val="0"/>
          <w:sz w:val="32"/>
          <w:szCs w:val="32"/>
        </w:rPr>
        <w:t>）有多个各级奖励证书的，按其中最高级计分，各级按文中表格标准累加计分，最高不超过获奖最高级别档次分值。</w:t>
      </w:r>
    </w:p>
    <w:p>
      <w:pPr>
        <w:keepNext w:val="0"/>
        <w:keepLines w:val="0"/>
        <w:pageBreakBefore w:val="0"/>
        <w:widowControl w:val="0"/>
        <w:kinsoku/>
        <w:wordWrap/>
        <w:overflowPunct/>
        <w:topLinePunct w:val="0"/>
        <w:autoSpaceDE w:val="0"/>
        <w:autoSpaceDN w:val="0"/>
        <w:bidi w:val="0"/>
        <w:adjustRightInd w:val="0"/>
        <w:spacing w:line="560" w:lineRule="exact"/>
        <w:ind w:firstLine="643" w:firstLineChars="200"/>
        <w:jc w:val="left"/>
        <w:textAlignment w:val="auto"/>
        <w:rPr>
          <w:rFonts w:hint="eastAsia" w:ascii="黑体" w:hAnsi="黑体" w:eastAsia="黑体" w:cs="HTJ-PK74820000007-Identity-H"/>
          <w:b/>
          <w:bCs/>
          <w:color w:val="auto"/>
          <w:kern w:val="0"/>
          <w:sz w:val="32"/>
          <w:szCs w:val="32"/>
          <w:lang w:eastAsia="zh-CN"/>
        </w:rPr>
      </w:pPr>
      <w:r>
        <w:rPr>
          <w:rFonts w:hint="eastAsia" w:ascii="黑体" w:hAnsi="黑体" w:eastAsia="黑体" w:cs="HTJ-PK74820000007-Identity-H"/>
          <w:b/>
          <w:bCs/>
          <w:color w:val="auto"/>
          <w:kern w:val="0"/>
          <w:sz w:val="32"/>
          <w:szCs w:val="32"/>
        </w:rPr>
        <w:t>四、</w:t>
      </w:r>
      <w:r>
        <w:rPr>
          <w:rFonts w:hint="eastAsia" w:ascii="黑体" w:hAnsi="黑体" w:eastAsia="黑体" w:cs="HTJ-PK74820000007-Identity-H"/>
          <w:b/>
          <w:bCs/>
          <w:color w:val="auto"/>
          <w:kern w:val="0"/>
          <w:sz w:val="32"/>
          <w:szCs w:val="32"/>
          <w:lang w:val="en-US" w:eastAsia="zh-CN"/>
        </w:rPr>
        <w:t>其他说明</w:t>
      </w:r>
    </w:p>
    <w:p>
      <w:pPr>
        <w:keepNext w:val="0"/>
        <w:keepLines w:val="0"/>
        <w:pageBreakBefore w:val="0"/>
        <w:widowControl w:val="0"/>
        <w:kinsoku/>
        <w:wordWrap/>
        <w:overflowPunct/>
        <w:topLinePunct w:val="0"/>
        <w:bidi w:val="0"/>
        <w:snapToGrid w:val="0"/>
        <w:spacing w:line="560" w:lineRule="exact"/>
        <w:ind w:firstLine="640" w:firstLineChars="200"/>
        <w:textAlignment w:val="auto"/>
        <w:rPr>
          <w:rFonts w:ascii="仿宋_GB2312" w:hAnsi="宋体" w:eastAsia="仿宋_GB2312"/>
          <w:color w:val="auto"/>
          <w:sz w:val="32"/>
          <w:szCs w:val="32"/>
        </w:rPr>
      </w:pPr>
      <w:r>
        <w:rPr>
          <w:rFonts w:hint="eastAsia" w:ascii="仿宋_GB2312" w:hAnsi="宋体" w:eastAsia="仿宋_GB2312"/>
          <w:color w:val="auto"/>
          <w:sz w:val="32"/>
          <w:szCs w:val="32"/>
        </w:rPr>
        <w:t>（一）本条件所称“以上”均含本级（本数量级）。</w:t>
      </w:r>
    </w:p>
    <w:p>
      <w:pPr>
        <w:keepNext w:val="0"/>
        <w:keepLines w:val="0"/>
        <w:pageBreakBefore w:val="0"/>
        <w:widowControl w:val="0"/>
        <w:kinsoku/>
        <w:wordWrap/>
        <w:overflowPunct/>
        <w:topLinePunct w:val="0"/>
        <w:bidi w:val="0"/>
        <w:spacing w:line="560" w:lineRule="exact"/>
        <w:ind w:firstLine="640" w:firstLineChars="200"/>
        <w:contextualSpacing/>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rPr>
        <w:t>（</w:t>
      </w:r>
      <w:r>
        <w:rPr>
          <w:rFonts w:hint="eastAsia" w:ascii="仿宋_GB2312" w:hAnsi="宋体" w:eastAsia="仿宋_GB2312" w:cs="Times New Roman"/>
          <w:color w:val="auto"/>
          <w:sz w:val="32"/>
          <w:szCs w:val="32"/>
          <w:lang w:val="en-US" w:eastAsia="zh-CN"/>
        </w:rPr>
        <w:t>二</w:t>
      </w:r>
      <w:r>
        <w:rPr>
          <w:rFonts w:hint="eastAsia" w:ascii="仿宋_GB2312" w:hAnsi="宋体" w:eastAsia="仿宋_GB2312" w:cs="Times New Roman"/>
          <w:color w:val="auto"/>
          <w:sz w:val="32"/>
          <w:szCs w:val="32"/>
        </w:rPr>
        <w:t>）专任教师周平均课时少于</w:t>
      </w:r>
      <w:r>
        <w:rPr>
          <w:rFonts w:hint="eastAsia" w:ascii="仿宋_GB2312" w:hAnsi="宋体" w:eastAsia="仿宋_GB2312" w:cs="Times New Roman"/>
          <w:color w:val="auto"/>
          <w:sz w:val="32"/>
          <w:szCs w:val="32"/>
          <w:lang w:val="en-US" w:eastAsia="zh-CN"/>
        </w:rPr>
        <w:t>8</w:t>
      </w:r>
      <w:r>
        <w:rPr>
          <w:rFonts w:hint="eastAsia" w:ascii="仿宋_GB2312" w:hAnsi="宋体" w:eastAsia="仿宋_GB2312" w:cs="Times New Roman"/>
          <w:color w:val="auto"/>
          <w:sz w:val="32"/>
          <w:szCs w:val="32"/>
        </w:rPr>
        <w:t>课时，兼</w:t>
      </w:r>
      <w:r>
        <w:rPr>
          <w:rFonts w:hint="eastAsia" w:ascii="仿宋_GB2312" w:hAnsi="宋体" w:eastAsia="仿宋_GB2312" w:cs="Times New Roman"/>
          <w:color w:val="auto"/>
          <w:sz w:val="32"/>
          <w:szCs w:val="32"/>
          <w:lang w:val="en-US" w:eastAsia="zh-CN"/>
        </w:rPr>
        <w:t>任</w:t>
      </w:r>
      <w:bookmarkStart w:id="0" w:name="_GoBack"/>
      <w:bookmarkEnd w:id="0"/>
      <w:r>
        <w:rPr>
          <w:rFonts w:hint="eastAsia" w:ascii="仿宋_GB2312" w:hAnsi="宋体" w:eastAsia="仿宋_GB2312" w:cs="Times New Roman"/>
          <w:color w:val="auto"/>
          <w:sz w:val="32"/>
          <w:szCs w:val="32"/>
        </w:rPr>
        <w:t>教师少于2课时不得申报教师系列职称。</w:t>
      </w:r>
    </w:p>
    <w:p>
      <w:pPr>
        <w:keepNext w:val="0"/>
        <w:keepLines w:val="0"/>
        <w:pageBreakBefore w:val="0"/>
        <w:widowControl w:val="0"/>
        <w:kinsoku/>
        <w:wordWrap/>
        <w:overflowPunct/>
        <w:topLinePunct w:val="0"/>
        <w:bidi w:val="0"/>
        <w:spacing w:line="560" w:lineRule="exact"/>
        <w:ind w:firstLine="640" w:firstLineChars="200"/>
        <w:contextualSpacing/>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eastAsia="zh-CN"/>
        </w:rPr>
        <w:t>（</w:t>
      </w:r>
      <w:r>
        <w:rPr>
          <w:rFonts w:hint="eastAsia" w:ascii="仿宋_GB2312" w:hAnsi="宋体" w:eastAsia="仿宋_GB2312" w:cs="Times New Roman"/>
          <w:color w:val="auto"/>
          <w:sz w:val="32"/>
          <w:szCs w:val="32"/>
          <w:lang w:val="en-US" w:eastAsia="zh-CN"/>
        </w:rPr>
        <w:t>三</w:t>
      </w:r>
      <w:r>
        <w:rPr>
          <w:rFonts w:hint="eastAsia" w:ascii="仿宋_GB2312" w:hAnsi="宋体" w:eastAsia="仿宋_GB2312" w:cs="Times New Roman"/>
          <w:color w:val="auto"/>
          <w:sz w:val="32"/>
          <w:szCs w:val="32"/>
          <w:lang w:eastAsia="zh-CN"/>
        </w:rPr>
        <w:t>）</w:t>
      </w:r>
      <w:r>
        <w:rPr>
          <w:rFonts w:hint="eastAsia" w:ascii="仿宋_GB2312" w:hAnsi="宋体" w:eastAsia="仿宋_GB2312" w:cs="Times New Roman"/>
          <w:color w:val="auto"/>
          <w:sz w:val="32"/>
          <w:szCs w:val="32"/>
        </w:rPr>
        <w:t>计算分值的过程中有关同一项目不重复计算。</w:t>
      </w:r>
    </w:p>
    <w:p>
      <w:pPr>
        <w:keepNext w:val="0"/>
        <w:keepLines w:val="0"/>
        <w:pageBreakBefore w:val="0"/>
        <w:widowControl w:val="0"/>
        <w:kinsoku/>
        <w:wordWrap/>
        <w:overflowPunct/>
        <w:topLinePunct w:val="0"/>
        <w:bidi w:val="0"/>
        <w:spacing w:line="560" w:lineRule="exact"/>
        <w:ind w:firstLine="640" w:firstLineChars="200"/>
        <w:contextualSpacing/>
        <w:textAlignment w:val="auto"/>
        <w:rPr>
          <w:rFonts w:hint="default"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eastAsia="zh-CN"/>
        </w:rPr>
        <w:t>（</w:t>
      </w:r>
      <w:r>
        <w:rPr>
          <w:rFonts w:hint="eastAsia" w:ascii="仿宋_GB2312" w:hAnsi="宋体" w:eastAsia="仿宋_GB2312" w:cs="Times New Roman"/>
          <w:color w:val="auto"/>
          <w:sz w:val="32"/>
          <w:szCs w:val="32"/>
          <w:lang w:val="en-US" w:eastAsia="zh-CN"/>
        </w:rPr>
        <w:t>四</w:t>
      </w:r>
      <w:r>
        <w:rPr>
          <w:rFonts w:hint="eastAsia" w:ascii="仿宋_GB2312" w:hAnsi="宋体" w:eastAsia="仿宋_GB2312" w:cs="Times New Roman"/>
          <w:color w:val="auto"/>
          <w:sz w:val="32"/>
          <w:szCs w:val="32"/>
          <w:lang w:eastAsia="zh-CN"/>
        </w:rPr>
        <w:t>）</w:t>
      </w:r>
      <w:r>
        <w:rPr>
          <w:rFonts w:hint="eastAsia" w:ascii="仿宋_GB2312" w:hAnsi="宋体" w:eastAsia="仿宋_GB2312" w:cs="Times New Roman"/>
          <w:color w:val="auto"/>
          <w:sz w:val="32"/>
          <w:szCs w:val="32"/>
          <w:lang w:val="en-US" w:eastAsia="zh-CN"/>
        </w:rPr>
        <w:t>各项单项计分及综合得分均保留小数点后两位，各大项总积分超过单项满分时，按满分计。</w:t>
      </w:r>
    </w:p>
    <w:p>
      <w:pPr>
        <w:keepNext w:val="0"/>
        <w:keepLines w:val="0"/>
        <w:pageBreakBefore w:val="0"/>
        <w:widowControl w:val="0"/>
        <w:kinsoku/>
        <w:wordWrap/>
        <w:overflowPunct/>
        <w:topLinePunct w:val="0"/>
        <w:bidi w:val="0"/>
        <w:spacing w:line="560" w:lineRule="exact"/>
        <w:ind w:firstLine="640" w:firstLineChars="200"/>
        <w:contextualSpacing/>
        <w:textAlignment w:val="auto"/>
        <w:rPr>
          <w:rFonts w:hint="eastAsia" w:ascii="仿宋_GB2312" w:hAnsi="仿宋" w:eastAsia="仿宋_GB2312"/>
          <w:color w:val="auto"/>
          <w:sz w:val="32"/>
          <w:szCs w:val="32"/>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五</w:t>
      </w:r>
      <w:r>
        <w:rPr>
          <w:rFonts w:hint="eastAsia" w:ascii="仿宋_GB2312" w:hAnsi="宋体" w:eastAsia="仿宋_GB2312"/>
          <w:color w:val="auto"/>
          <w:sz w:val="32"/>
          <w:szCs w:val="32"/>
        </w:rPr>
        <w:t>）</w:t>
      </w:r>
      <w:r>
        <w:rPr>
          <w:rFonts w:hint="eastAsia" w:ascii="仿宋_GB2312" w:hAnsi="宋体" w:eastAsia="仿宋_GB2312" w:cs="Times New Roman"/>
          <w:color w:val="auto"/>
          <w:sz w:val="32"/>
          <w:szCs w:val="32"/>
        </w:rPr>
        <w:t>以上各项所涉及</w:t>
      </w:r>
      <w:r>
        <w:rPr>
          <w:rFonts w:hint="eastAsia" w:ascii="仿宋_GB2312" w:hAnsi="仿宋" w:eastAsia="仿宋_GB2312"/>
          <w:color w:val="auto"/>
          <w:sz w:val="32"/>
          <w:szCs w:val="32"/>
          <w:lang w:val="en-US" w:eastAsia="zh-CN"/>
        </w:rPr>
        <w:t>的各类教科研</w:t>
      </w:r>
      <w:r>
        <w:rPr>
          <w:rFonts w:hint="eastAsia" w:ascii="仿宋_GB2312" w:hAnsi="仿宋" w:eastAsia="仿宋_GB2312"/>
          <w:color w:val="auto"/>
          <w:sz w:val="32"/>
          <w:szCs w:val="32"/>
        </w:rPr>
        <w:t>项目、成果和奖励必须与申报学科或从事工作相关，无法确定成果相关性时经校学术委员会认定。</w:t>
      </w:r>
    </w:p>
    <w:p>
      <w:pPr>
        <w:snapToGrid w:val="0"/>
        <w:spacing w:line="560" w:lineRule="exact"/>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六</w:t>
      </w:r>
      <w:r>
        <w:rPr>
          <w:rFonts w:hint="eastAsia" w:ascii="仿宋_GB2312" w:hAnsi="宋体" w:eastAsia="仿宋_GB2312"/>
          <w:color w:val="auto"/>
          <w:sz w:val="32"/>
          <w:szCs w:val="32"/>
        </w:rPr>
        <w:t>）课题是指国家、省、市各级政府指定的科研行政单位代表政府发布立项的研究课题，代表着学科和科技发展前沿，具有重大理论和实践意义。按照课题立项来源分为国家级、省部级、市厅级课题。非政府部门指定或授权的各行业协会、学会、研究会课题不予认定，各种以鉴定方式通过的计划外自选课题（不含省社科规划办确认课题）不予认定。专业技术人员承担完成的课题要与其专业或岗位工作相关。项目“主持”指排名第一，是科研课题或工程项目的总体设计、论证、组织和指导者，并承担其中重要工作。课题须附批准文件、计划任务书和鉴定证书、结项文件等佐证材料。国家级课题包括国家自然科学基金项目、国家社科基金项目、科技部各类科技计划项目、全国教育科学规划项目;省部级课题包括教育部人文社科项目、教育部科学技术研究项目、全国教育科学规划教育部课题、河北省自然基金项目、河北省科技计划项目、河北省社科基金项目、河北省社会科学发展研究课题、教育部思政课教学方法改革项目择优推广计划项目、河北省思想政治工作研究课题;市厅级课题包括河北省教育厅科学研究计划项目、河北省教育科学规划课题、河北省职业教育科学规划课题、承德市科学技术研究与发展计划项目、承德市社会科学发展研究课题、承德市思想政治工作研究课题、政府部门指定或授权的国家级学会课题;校级课题包括学校教科研课题、政府部门指定或授权的省级学会课题、承德市教育科学规划课题、承德市职业教育规划课题。其他课题参考《关于河北省职称评审业务奖励、荣誉称号情况认定的说明》(冀职改办字[2015]104号)中业务奖励的级别确定。子课题按照总课题降一级量化，其中参加人员按照总课题或子课题分别量化，取其中最高量化分值计入。</w:t>
      </w:r>
    </w:p>
    <w:p>
      <w:pPr>
        <w:keepNext w:val="0"/>
        <w:keepLines w:val="0"/>
        <w:pageBreakBefore w:val="0"/>
        <w:widowControl w:val="0"/>
        <w:kinsoku/>
        <w:wordWrap/>
        <w:overflowPunct/>
        <w:topLinePunct w:val="0"/>
        <w:bidi w:val="0"/>
        <w:snapToGrid w:val="0"/>
        <w:spacing w:line="560" w:lineRule="exact"/>
        <w:ind w:firstLine="640" w:firstLineChars="200"/>
        <w:textAlignment w:val="auto"/>
        <w:rPr>
          <w:rFonts w:ascii="仿宋_GB2312" w:hAnsi="宋体" w:eastAsia="仿宋_GB2312"/>
          <w:color w:val="auto"/>
          <w:sz w:val="32"/>
          <w:szCs w:val="32"/>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七</w:t>
      </w:r>
      <w:r>
        <w:rPr>
          <w:rFonts w:hint="eastAsia" w:ascii="仿宋_GB2312" w:hAnsi="宋体" w:eastAsia="仿宋_GB2312"/>
          <w:color w:val="auto"/>
          <w:sz w:val="32"/>
          <w:szCs w:val="32"/>
        </w:rPr>
        <w:t>）本办法在执行过程中，若出现与上级文件精神相悖时，以上级文件精神为准。</w:t>
      </w:r>
    </w:p>
    <w:p>
      <w:pPr>
        <w:keepNext w:val="0"/>
        <w:keepLines w:val="0"/>
        <w:pageBreakBefore w:val="0"/>
        <w:widowControl w:val="0"/>
        <w:kinsoku/>
        <w:wordWrap/>
        <w:overflowPunct/>
        <w:topLinePunct w:val="0"/>
        <w:bidi w:val="0"/>
        <w:snapToGrid w:val="0"/>
        <w:spacing w:line="560" w:lineRule="exact"/>
        <w:ind w:firstLine="640" w:firstLineChars="200"/>
        <w:textAlignment w:val="auto"/>
        <w:rPr>
          <w:rFonts w:ascii="仿宋_GB2312" w:hAnsi="宋体" w:eastAsia="仿宋_GB2312"/>
          <w:color w:val="auto"/>
          <w:sz w:val="32"/>
          <w:szCs w:val="32"/>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八</w:t>
      </w:r>
      <w:r>
        <w:rPr>
          <w:rFonts w:hint="eastAsia" w:ascii="仿宋_GB2312" w:hAnsi="宋体" w:eastAsia="仿宋_GB2312"/>
          <w:color w:val="auto"/>
          <w:sz w:val="32"/>
          <w:szCs w:val="32"/>
        </w:rPr>
        <w:t>）本办法</w:t>
      </w:r>
      <w:r>
        <w:rPr>
          <w:rFonts w:hint="eastAsia" w:ascii="仿宋_GB2312" w:hAnsi="宋体" w:eastAsia="仿宋_GB2312" w:cs="Times New Roman"/>
          <w:color w:val="auto"/>
          <w:sz w:val="32"/>
          <w:szCs w:val="32"/>
        </w:rPr>
        <w:t>未尽事宜，由职称改革领导小组确定。此办法解释权归职称改革领导小组办公室。</w:t>
      </w:r>
    </w:p>
    <w:sectPr>
      <w:footerReference r:id="rId3" w:type="default"/>
      <w:pgSz w:w="11906" w:h="16838"/>
      <w:pgMar w:top="1701" w:right="1701" w:bottom="164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0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HTJ-PK74820000007-Identity-H">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1</w:t>
    </w:r>
    <w:r>
      <w:rPr>
        <w:lang w:val="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C82478"/>
    <w:multiLevelType w:val="singleLevel"/>
    <w:tmpl w:val="E4C82478"/>
    <w:lvl w:ilvl="0" w:tentative="0">
      <w:start w:val="1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0M2VlMDBiNTVmNGRhZjMyNmVjYTUwMzk1MmIxNDAifQ=="/>
  </w:docVars>
  <w:rsids>
    <w:rsidRoot w:val="00000000"/>
    <w:rsid w:val="00DA2D14"/>
    <w:rsid w:val="01E41B1F"/>
    <w:rsid w:val="03E012B9"/>
    <w:rsid w:val="07E21FBD"/>
    <w:rsid w:val="0901057A"/>
    <w:rsid w:val="0ADE1E9A"/>
    <w:rsid w:val="0DC07915"/>
    <w:rsid w:val="12CD1ABC"/>
    <w:rsid w:val="1B7A4D40"/>
    <w:rsid w:val="1BA3160C"/>
    <w:rsid w:val="1E2F362A"/>
    <w:rsid w:val="20E22BD6"/>
    <w:rsid w:val="22821F7B"/>
    <w:rsid w:val="23517B9F"/>
    <w:rsid w:val="273F78D7"/>
    <w:rsid w:val="2A023CBF"/>
    <w:rsid w:val="2CD0242C"/>
    <w:rsid w:val="2D440961"/>
    <w:rsid w:val="2D8C63A3"/>
    <w:rsid w:val="2DF30BE5"/>
    <w:rsid w:val="2FB67708"/>
    <w:rsid w:val="375B33A9"/>
    <w:rsid w:val="3C980A5E"/>
    <w:rsid w:val="560020DA"/>
    <w:rsid w:val="56375BA7"/>
    <w:rsid w:val="58A67A6A"/>
    <w:rsid w:val="5ABA276A"/>
    <w:rsid w:val="5BCA33F1"/>
    <w:rsid w:val="5E0A45F7"/>
    <w:rsid w:val="5E47664D"/>
    <w:rsid w:val="5FC21058"/>
    <w:rsid w:val="62DD6A26"/>
    <w:rsid w:val="636D0572"/>
    <w:rsid w:val="71092323"/>
    <w:rsid w:val="71A113F4"/>
    <w:rsid w:val="724A7260"/>
    <w:rsid w:val="74674561"/>
    <w:rsid w:val="74A00C39"/>
    <w:rsid w:val="74CA0EC1"/>
    <w:rsid w:val="77ED746D"/>
    <w:rsid w:val="794B3FEA"/>
    <w:rsid w:val="7B826770"/>
    <w:rsid w:val="7EC65E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qFormat/>
    <w:uiPriority w:val="1"/>
  </w:style>
  <w:style w:type="table" w:default="1" w:styleId="7">
    <w:name w:val="Normal Table"/>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框文本 Char"/>
    <w:basedOn w:val="9"/>
    <w:link w:val="3"/>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453A8-C6CA-43D5-8B38-7EEA61D2118C}">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18</Pages>
  <Words>9407</Words>
  <Characters>9737</Characters>
  <Paragraphs>147</Paragraphs>
  <TotalTime>7</TotalTime>
  <ScaleCrop>false</ScaleCrop>
  <LinksUpToDate>false</LinksUpToDate>
  <CharactersWithSpaces>9756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2022-01-22T15:27:00Z</dcterms:created>
  <dc:creator>ZGC</dc:creator>
  <cp:lastModifiedBy>hp</cp:lastModifiedBy>
  <cp:lastPrinted>2022-07-14T07:55:00Z</cp:lastPrinted>
  <dcterms:modified xsi:type="dcterms:W3CDTF">2022-07-28T09:19:33Z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D5DDDEB304464CEAB6D27E852A78B034</vt:lpwstr>
  </property>
</Properties>
</file>