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宋体"/>
          <w:bCs/>
          <w:color w:val="000000" w:themeColor="text1"/>
          <w:kern w:val="0"/>
          <w:sz w:val="32"/>
          <w:szCs w:val="32"/>
          <w14:textFill>
            <w14:solidFill>
              <w14:schemeClr w14:val="tx1"/>
            </w14:solidFill>
          </w14:textFill>
        </w:rPr>
      </w:pPr>
    </w:p>
    <w:p>
      <w:pPr>
        <w:spacing w:line="520" w:lineRule="exact"/>
        <w:jc w:val="center"/>
        <w:rPr>
          <w:rFonts w:ascii="仿宋" w:hAnsi="仿宋" w:eastAsia="仿宋" w:cs="宋体"/>
          <w:bCs/>
          <w:color w:val="000000" w:themeColor="text1"/>
          <w:kern w:val="0"/>
          <w:sz w:val="32"/>
          <w:szCs w:val="32"/>
          <w14:textFill>
            <w14:solidFill>
              <w14:schemeClr w14:val="tx1"/>
            </w14:solidFill>
          </w14:textFill>
        </w:rPr>
      </w:pPr>
    </w:p>
    <w:p>
      <w:pPr>
        <w:tabs>
          <w:tab w:val="left" w:pos="2670"/>
          <w:tab w:val="center" w:pos="4535"/>
        </w:tabs>
        <w:spacing w:line="560" w:lineRule="exact"/>
        <w:jc w:val="center"/>
        <w:rPr>
          <w:rFonts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承德应用技术职业学院</w:t>
      </w:r>
      <w:bookmarkStart w:id="0" w:name="_GoBack"/>
      <w:r>
        <w:rPr>
          <w:rFonts w:hint="eastAsia" w:ascii="宋体" w:hAnsi="宋体" w:eastAsia="宋体"/>
          <w:b/>
          <w:color w:val="000000" w:themeColor="text1"/>
          <w:sz w:val="44"/>
          <w:szCs w:val="44"/>
          <w14:textFill>
            <w14:solidFill>
              <w14:schemeClr w14:val="tx1"/>
            </w14:solidFill>
          </w14:textFill>
        </w:rPr>
        <w:t>学生综合素质测评实施办法</w:t>
      </w:r>
      <w:bookmarkEnd w:id="0"/>
      <w:r>
        <w:rPr>
          <w:rFonts w:hint="eastAsia" w:ascii="宋体" w:hAnsi="宋体" w:eastAsia="宋体"/>
          <w:b/>
          <w:color w:val="000000" w:themeColor="text1"/>
          <w:sz w:val="44"/>
          <w:szCs w:val="44"/>
          <w14:textFill>
            <w14:solidFill>
              <w14:schemeClr w14:val="tx1"/>
            </w14:solidFill>
          </w14:textFill>
        </w:rPr>
        <w:t>（试行）</w:t>
      </w:r>
    </w:p>
    <w:p>
      <w:pPr>
        <w:spacing w:before="156" w:beforeLines="50" w:after="156" w:afterLines="50" w:line="560" w:lineRule="exact"/>
        <w:jc w:val="center"/>
        <w:outlineLvl w:val="0"/>
        <w:rPr>
          <w:rFonts w:ascii="黑体" w:hAnsi="黑体" w:eastAsia="黑体" w:cs="黑体"/>
          <w:b/>
          <w:sz w:val="32"/>
          <w:szCs w:val="32"/>
        </w:rPr>
      </w:pPr>
      <w:r>
        <w:rPr>
          <w:rFonts w:hint="eastAsia" w:ascii="黑体" w:hAnsi="黑体" w:eastAsia="黑体" w:cs="黑体"/>
          <w:b/>
          <w:sz w:val="32"/>
          <w:szCs w:val="32"/>
        </w:rPr>
        <w:t>第一章  总则</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为了全面贯彻党的教育方针，落实立德树人根本任务，加强社会主义核心价值观教育，培养具有创新精神和实践能力的高技能型人才，激励学生全面发展，引导学生自觉提高综合素质，结合我院实际，特制定本实施办法。 </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第二条 </w:t>
      </w:r>
      <w:r>
        <w:rPr>
          <w:rFonts w:hint="eastAsia" w:ascii="仿宋" w:hAnsi="仿宋" w:eastAsia="仿宋" w:cs="仿宋"/>
          <w:color w:val="000000" w:themeColor="text1"/>
          <w:sz w:val="32"/>
          <w:szCs w:val="32"/>
          <w14:textFill>
            <w14:solidFill>
              <w14:schemeClr w14:val="tx1"/>
            </w14:solidFill>
          </w14:textFill>
        </w:rPr>
        <w:t>学生综合素质测评（以下简称综合测评）坚持专业学习、能力培养与素质发展并重，采用定量与定性、记实与评议相结合的方法，坚持科学性原则、可操作性原则，客观、公平、公正、公开、民主的对学生德、智、体、美、劳进行全面评价。</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第三条 </w:t>
      </w:r>
      <w:r>
        <w:rPr>
          <w:rFonts w:hint="eastAsia" w:ascii="仿宋" w:hAnsi="仿宋" w:eastAsia="仿宋" w:cs="仿宋"/>
          <w:color w:val="000000" w:themeColor="text1"/>
          <w:sz w:val="32"/>
          <w:szCs w:val="32"/>
          <w14:textFill>
            <w14:solidFill>
              <w14:schemeClr w14:val="tx1"/>
            </w14:solidFill>
          </w14:textFill>
        </w:rPr>
        <w:t>综合素质测评成绩是全面考核学生综合素质，是评选三好学生、优秀学生干部、评定专业奖学金和推荐毕业生就业等工作的重要依据。学生综合素质测评每学期测评一次，开学2周内完成上学年的测评，满分为100分。</w:t>
      </w:r>
    </w:p>
    <w:p>
      <w:pPr>
        <w:spacing w:before="156" w:beforeLines="50" w:after="156" w:afterLines="50" w:line="480" w:lineRule="exact"/>
        <w:ind w:firstLine="643" w:firstLineChars="200"/>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各系（院）可以依据本办法，制定适合本专业特点的学生综合素质测评实施细则，报学工处备案。</w:t>
      </w:r>
    </w:p>
    <w:p>
      <w:pPr>
        <w:spacing w:before="156" w:beforeLines="50" w:after="156" w:afterLines="50" w:line="56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第二章  综合测评组织领导</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第五条 </w:t>
      </w:r>
      <w:r>
        <w:rPr>
          <w:rFonts w:hint="eastAsia" w:ascii="仿宋" w:hAnsi="仿宋" w:eastAsia="仿宋" w:cs="仿宋"/>
          <w:color w:val="000000" w:themeColor="text1"/>
          <w:sz w:val="32"/>
          <w:szCs w:val="32"/>
          <w14:textFill>
            <w14:solidFill>
              <w14:schemeClr w14:val="tx1"/>
            </w14:solidFill>
          </w14:textFill>
        </w:rPr>
        <w:t>学院成立学生综合素质测评领导小组，负责全院学生综合测评、检查、指导和组织实施工作。领导小组工作办公室设在学工处（团委）。各系部成立以系领导、团总支书记、辅导员为主要成员的学生综合素质测评工作小组，负责本系学生综合素质测评工作的具体实施。</w:t>
      </w:r>
    </w:p>
    <w:p>
      <w:pPr>
        <w:widowControl/>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第六条</w:t>
      </w:r>
      <w:r>
        <w:rPr>
          <w:rFonts w:hint="eastAsia" w:ascii="仿宋" w:hAnsi="仿宋" w:eastAsia="仿宋" w:cs="仿宋"/>
          <w:color w:val="000000" w:themeColor="text1"/>
          <w:sz w:val="32"/>
          <w:szCs w:val="32"/>
          <w14:textFill>
            <w14:solidFill>
              <w14:schemeClr w14:val="tx1"/>
            </w14:solidFill>
          </w14:textFill>
        </w:rPr>
        <w:t xml:space="preserve"> 班级成立学生综合素质测评小组，具体负责本班测评工作的实施。各班综合测评小组由十人组成，包括班长、团支书以及数名学生代表（原则上每宿舍有一名学生代表、非学生干部代表不少于两人）组成，学生代表的推选由班委会负责并报辅导员批准。班级综合测评小组由辅导员担任组长，为综合测评小组第一负责人，具体负责组织本班每名同学测评记录表的填写及有关资料的收集整理和存档工作。</w:t>
      </w:r>
    </w:p>
    <w:p>
      <w:pPr>
        <w:spacing w:before="156" w:beforeLines="50" w:after="156" w:afterLines="50" w:line="56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第三章  综合测评流程</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第七条</w:t>
      </w:r>
      <w:r>
        <w:rPr>
          <w:rFonts w:hint="eastAsia" w:ascii="仿宋" w:hAnsi="仿宋" w:eastAsia="仿宋" w:cs="仿宋"/>
          <w:color w:val="000000" w:themeColor="text1"/>
          <w:sz w:val="32"/>
          <w:szCs w:val="32"/>
          <w14:textFill>
            <w14:solidFill>
              <w14:schemeClr w14:val="tx1"/>
            </w14:solidFill>
          </w14:textFill>
        </w:rPr>
        <w:t xml:space="preserve"> 综合测评工作分班级测评、年级（专业）排名、系部复核和学院审批四个步骤进行。</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班级测评：学生根据自己日常表现，向班级测评小组提交相关证明材料。根据每名同学的日常表现和相关证明，班级测评小组按照测评办法进行测评。各类加分项根据学生实际参与各类活动情况（包括相关考核成绩、活动证明等）及所获得的荣誉、奖励得出。获奖加分必须提供荣誉证书或聘任书复印件或院系有效证明。辅导员对班级评议结果和各类加分项的真实性负责，并审核相关证明材料，发现问题，进行修正。</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年级（专业）排名：辅导员在系学管主任的指导下带领各班级测评小组，结合学业成绩，计算得出综合素质测评成绩，并根据测评成绩进行年级、专业排名。并向系学生综合素质测评工作小组提交测评结果。</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系部复核：辅导员将综合素质测评结果报送系部综合素质测评工作领导小组，审核确认无误系主任签字后，公示三天，确保测评结果的公平、公正。若学生对测评过程、结果存有疑义，可在公示期内向辅导员或系学生综合素质测评工作小组反映，也可以直接向学工处（团委）反映，如发现弄虚作假现象将取消学生评奖评优资格并追究相关人员的责任。综合素质测评结果公示无异议后，各系部将结果造册报学生工作处备案，同时将原始材料整理归档，妥善保存。</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（四）学院审批：学院学生综合素质测评工作领导小组办公室对各系部测评结果进行审批。学工处（团委）将抽取一定比例的各系（院）、班级综合测评过程性材料进行检查，确保综合测评工作的公平。</w:t>
      </w:r>
    </w:p>
    <w:p>
      <w:pPr>
        <w:spacing w:before="156" w:beforeLines="50" w:after="156" w:afterLines="50" w:line="56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第四章  综合测评内容和计分标准</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第八条</w:t>
      </w:r>
      <w:r>
        <w:rPr>
          <w:rFonts w:hint="eastAsia" w:ascii="仿宋" w:hAnsi="仿宋" w:eastAsia="仿宋" w:cs="仿宋"/>
          <w:color w:val="000000" w:themeColor="text1"/>
          <w:sz w:val="32"/>
          <w:szCs w:val="32"/>
          <w14:textFill>
            <w14:solidFill>
              <w14:schemeClr w14:val="tx1"/>
            </w14:solidFill>
          </w14:textFill>
        </w:rPr>
        <w:t xml:space="preserve"> 学生综合测评总成绩由德育成绩、智育成绩、文体（劳）成绩组成。其中德育成绩为个人学期操行评定成绩；智育成绩包括课程成绩、学习能力和科技创新能力三项；文体（劳）包括早操、身体素质和文体综合活动三项。</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第九条</w:t>
      </w:r>
      <w:r>
        <w:rPr>
          <w:rFonts w:hint="eastAsia" w:ascii="仿宋" w:hAnsi="仿宋" w:eastAsia="仿宋" w:cs="仿宋"/>
          <w:color w:val="000000" w:themeColor="text1"/>
          <w:sz w:val="32"/>
          <w:szCs w:val="32"/>
          <w14:textFill>
            <w14:solidFill>
              <w14:schemeClr w14:val="tx1"/>
            </w14:solidFill>
          </w14:textFill>
        </w:rPr>
        <w:t xml:space="preserve"> 综合测评总分为100分，其中德育分占20%，智育占60%，文体（劳）占20%。</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第十条</w:t>
      </w:r>
      <w:r>
        <w:rPr>
          <w:rFonts w:hint="eastAsia" w:ascii="仿宋" w:hAnsi="仿宋" w:eastAsia="仿宋" w:cs="仿宋"/>
          <w:color w:val="000000" w:themeColor="text1"/>
          <w:sz w:val="32"/>
          <w:szCs w:val="32"/>
          <w14:textFill>
            <w14:solidFill>
              <w14:schemeClr w14:val="tx1"/>
            </w14:solidFill>
          </w14:textFill>
        </w:rPr>
        <w:t xml:space="preserve"> 在本学期内凡因违反学生管理制度而受到各种处分者，从综合素质测评总分中予以扣分。本学期受留校察看处分的学生每次扣10分；受记过处分的学生每次扣8分；受严重警告处分的学生每次扣6分；受警告处分的学生每次扣4分；受学院、系通报批评的学生每次分别扣2分、1分；在综合测评过程中无理取闹、弄虚作假的学生扣10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p>
    <w:tbl>
      <w:tblPr>
        <w:tblStyle w:val="6"/>
        <w:tblW w:w="8280" w:type="dxa"/>
        <w:tblInd w:w="9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637"/>
        <w:gridCol w:w="464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1154" w:hRule="atLeast"/>
        </w:trPr>
        <w:tc>
          <w:tcPr>
            <w:tcW w:w="3637" w:type="dxa"/>
            <w:tcBorders>
              <w:top w:val="single" w:color="auto" w:sz="4" w:space="0"/>
              <w:left w:val="single" w:color="auto" w:sz="4" w:space="0"/>
              <w:bottom w:val="single" w:color="auto" w:sz="4" w:space="0"/>
              <w:right w:val="single" w:color="auto" w:sz="4" w:space="0"/>
            </w:tcBorders>
            <w:vAlign w:val="center"/>
          </w:tcPr>
          <w:p>
            <w:pPr>
              <w:spacing w:line="48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综合测评分数计算公式  =</w:t>
            </w:r>
          </w:p>
        </w:tc>
        <w:tc>
          <w:tcPr>
            <w:tcW w:w="464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德育*20% + 智育*60% +</w:t>
            </w:r>
          </w:p>
          <w:p>
            <w:pPr>
              <w:spacing w:line="48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文体（劳）*20%</w:t>
            </w:r>
          </w:p>
        </w:tc>
      </w:tr>
    </w:tbl>
    <w:p>
      <w:pPr>
        <w:spacing w:line="480" w:lineRule="exact"/>
        <w:rPr>
          <w:rFonts w:ascii="仿宋" w:hAnsi="仿宋" w:eastAsia="仿宋" w:cs="仿宋"/>
          <w:color w:val="000000" w:themeColor="text1"/>
          <w:sz w:val="32"/>
          <w:szCs w:val="32"/>
          <w14:textFill>
            <w14:solidFill>
              <w14:schemeClr w14:val="tx1"/>
            </w14:solidFill>
          </w14:textFill>
        </w:rPr>
      </w:pPr>
    </w:p>
    <w:p>
      <w:pPr>
        <w:spacing w:before="156" w:beforeLines="50" w:after="156" w:afterLines="50" w:line="56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第五章  德育(100分)</w:t>
      </w:r>
    </w:p>
    <w:p>
      <w:pPr>
        <w:pStyle w:val="4"/>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德育成绩重点考核学生思想政治素质、品行修养、日常表现等，成绩为学生学期操行评定成绩。</w:t>
      </w:r>
    </w:p>
    <w:p>
      <w:pPr>
        <w:pStyle w:val="8"/>
        <w:adjustRightInd w:val="0"/>
        <w:snapToGrid w:val="0"/>
        <w:jc w:val="left"/>
        <w:rPr>
          <w:rFonts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第十二条 </w:t>
      </w:r>
      <w:r>
        <w:rPr>
          <w:rFonts w:hint="eastAsia" w:ascii="仿宋" w:hAnsi="仿宋" w:eastAsia="仿宋" w:cs="仿宋"/>
          <w:color w:val="000000" w:themeColor="text1"/>
          <w:sz w:val="32"/>
          <w:szCs w:val="32"/>
          <w14:textFill>
            <w14:solidFill>
              <w14:schemeClr w14:val="tx1"/>
            </w14:solidFill>
          </w14:textFill>
        </w:rPr>
        <w:t>学期操行评定由班级测评小组组织，按照</w:t>
      </w:r>
      <w:r>
        <w:rPr>
          <w:rFonts w:hint="eastAsia" w:ascii="仿宋" w:hAnsi="仿宋" w:eastAsia="仿宋"/>
          <w:color w:val="000000" w:themeColor="text1"/>
          <w:sz w:val="32"/>
          <w:szCs w:val="32"/>
          <w14:textFill>
            <w14:solidFill>
              <w14:schemeClr w14:val="tx1"/>
            </w14:solidFill>
          </w14:textFill>
        </w:rPr>
        <w:t>《高等学校学生行为准则》</w:t>
      </w:r>
      <w:r>
        <w:rPr>
          <w:rFonts w:hint="eastAsia" w:ascii="仿宋" w:hAnsi="仿宋" w:eastAsia="仿宋" w:cs="仿宋"/>
          <w:color w:val="000000" w:themeColor="text1"/>
          <w:sz w:val="32"/>
          <w:szCs w:val="32"/>
          <w14:textFill>
            <w14:solidFill>
              <w14:schemeClr w14:val="tx1"/>
            </w14:solidFill>
          </w14:textFill>
        </w:rPr>
        <w:t>《承德应用技术职业学院学</w:t>
      </w:r>
      <w:r>
        <w:rPr>
          <w:rFonts w:hint="eastAsia" w:ascii="仿宋" w:hAnsi="仿宋" w:eastAsia="仿宋" w:cs="仿宋"/>
          <w:color w:val="000000" w:themeColor="text1"/>
          <w:kern w:val="2"/>
          <w:sz w:val="32"/>
          <w:szCs w:val="32"/>
          <w14:textFill>
            <w14:solidFill>
              <w14:schemeClr w14:val="tx1"/>
            </w14:solidFill>
          </w14:textFill>
        </w:rPr>
        <w:t>生操行评定细则</w:t>
      </w:r>
      <w:r>
        <w:rPr>
          <w:rFonts w:hint="eastAsia" w:ascii="仿宋" w:hAnsi="仿宋" w:eastAsia="仿宋" w:cs="仿宋"/>
          <w:color w:val="000000" w:themeColor="text1"/>
          <w:sz w:val="32"/>
          <w:szCs w:val="32"/>
          <w14:textFill>
            <w14:solidFill>
              <w14:schemeClr w14:val="tx1"/>
            </w14:solidFill>
          </w14:textFill>
        </w:rPr>
        <w:t>》，根据学生思想政治素质、品行修养、日常表现等各方面的现实表现进行评议，</w:t>
      </w:r>
      <w:r>
        <w:rPr>
          <w:rFonts w:hint="eastAsia" w:ascii="仿宋" w:hAnsi="仿宋" w:eastAsia="仿宋"/>
          <w:color w:val="000000" w:themeColor="text1"/>
          <w:sz w:val="32"/>
          <w:szCs w:val="32"/>
          <w14:textFill>
            <w14:solidFill>
              <w14:schemeClr w14:val="tx1"/>
            </w14:solidFill>
          </w14:textFill>
        </w:rPr>
        <w:t>包括班级代表评议、辅导员评定、平时操行积分等三方面。平时操行积分按照</w:t>
      </w:r>
      <w:r>
        <w:rPr>
          <w:rFonts w:hint="eastAsia" w:ascii="仿宋" w:hAnsi="仿宋" w:eastAsia="仿宋" w:cs="仿宋"/>
          <w:color w:val="000000" w:themeColor="text1"/>
          <w:sz w:val="32"/>
          <w:szCs w:val="32"/>
          <w14:textFill>
            <w14:solidFill>
              <w14:schemeClr w14:val="tx1"/>
            </w14:solidFill>
          </w14:textFill>
        </w:rPr>
        <w:t>《承德应用技术职业学院学</w:t>
      </w:r>
      <w:r>
        <w:rPr>
          <w:rFonts w:hint="eastAsia" w:ascii="仿宋" w:hAnsi="仿宋" w:eastAsia="仿宋" w:cs="仿宋"/>
          <w:color w:val="000000" w:themeColor="text1"/>
          <w:kern w:val="2"/>
          <w:sz w:val="32"/>
          <w:szCs w:val="32"/>
          <w14:textFill>
            <w14:solidFill>
              <w14:schemeClr w14:val="tx1"/>
            </w14:solidFill>
          </w14:textFill>
        </w:rPr>
        <w:t>生操行评定细则</w:t>
      </w:r>
      <w:r>
        <w:rPr>
          <w:rFonts w:hint="eastAsia" w:ascii="仿宋" w:hAnsi="仿宋" w:eastAsia="仿宋" w:cs="仿宋"/>
          <w:color w:val="000000" w:themeColor="text1"/>
          <w:sz w:val="32"/>
          <w:szCs w:val="32"/>
          <w14:textFill>
            <w14:solidFill>
              <w14:schemeClr w14:val="tx1"/>
            </w14:solidFill>
          </w14:textFill>
        </w:rPr>
        <w:t>》日常做好记录，民主评议</w:t>
      </w:r>
      <w:r>
        <w:rPr>
          <w:rFonts w:hint="eastAsia" w:ascii="仿宋" w:hAnsi="仿宋" w:eastAsia="仿宋"/>
          <w:color w:val="000000" w:themeColor="text1"/>
          <w:sz w:val="32"/>
          <w:szCs w:val="32"/>
          <w14:textFill>
            <w14:solidFill>
              <w14:schemeClr w14:val="tx1"/>
            </w14:solidFill>
          </w14:textFill>
        </w:rPr>
        <w:t>参照</w:t>
      </w:r>
      <w:r>
        <w:rPr>
          <w:rFonts w:hint="eastAsia" w:ascii="仿宋" w:hAnsi="仿宋" w:eastAsia="仿宋" w:cs="仿宋"/>
          <w:color w:val="000000" w:themeColor="text1"/>
          <w:sz w:val="32"/>
          <w:szCs w:val="32"/>
          <w14:textFill>
            <w14:solidFill>
              <w14:schemeClr w14:val="tx1"/>
            </w14:solidFill>
          </w14:textFill>
        </w:rPr>
        <w:t>如下标准：</w:t>
      </w:r>
    </w:p>
    <w:p>
      <w:pPr>
        <w:pStyle w:val="4"/>
        <w:spacing w:line="4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（一）思想政治素质</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树立坚定正确的政治方向，拥护中国共产党的领导和党的基本路线、方针、政策。认真学习习近平新时代中国特色社会主义思想，坚持四项基本原则，坚决抵制和反对任何有损祖国尊严和荣誉及危害社会秩序的言行，思想上积极进步；</w:t>
      </w:r>
    </w:p>
    <w:p>
      <w:pPr>
        <w:pStyle w:val="4"/>
        <w:spacing w:line="480" w:lineRule="exact"/>
        <w:ind w:left="-359" w:leftChars="-171"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2.树立科学的世界观与正确的人生观、价值观和荣辱观，弘扬爱国主义、社会主义、集体主义精神；</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3.关心国家大事，明辨是非，具有坚定的政治立场；</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4.自觉加强政治修养，政治上积极追求进步，主动参加院、系组织的政治学习和活动；思想积极进取，能主动为广大同学服务能积极组织各种学生活动，在同学口中有较好的口碑，具有一定的模范带头作用；</w:t>
      </w:r>
    </w:p>
    <w:p>
      <w:pPr>
        <w:pStyle w:val="4"/>
        <w:spacing w:line="4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（二）品行修养</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1．顾全大局，关心集体，能正确处理个人、社会与集体的关系；</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2．有积极的人生态度，学习勤奋刻苦，目标明确，奋发向上；</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3．注意提高个人品德修养，遵守社会公德，诚实守信，公道正派，严于律己，尊敬师长，团结同学；</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4．穿戴整洁大方，男女交往行为得体，举止文明谈吐文雅，不参与打架斗殴、酗酒、赌博、吸烟等不文明行为；</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5．有良好的卫生习惯，不乱扔垃圾，珍惜公共财物和教学实训设备，保护公共设施，尊重他人劳动成果；</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6．遵守校规校纪，维护公共秩序，上课不迟到、不早退，不旷课，学习时间不从事非学习活动；</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7．能遵守宿舍清宿、晚点名、内务整理、通风消毒、安全管理等管理规定，不损毁和私自拆装宿舍设施，不影响他人正常学习和休息；</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8．能遵守早操、晚自习等一日生活制度，积极参加有益身心的文体娱乐活动，不观看、传播不健康书刊或音像制品； </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9．能积极参加义务支教、献爱心等志愿服务和社会实践活动，能积极参加院系及班级组织的集体活动。</w:t>
      </w:r>
    </w:p>
    <w:p>
      <w:pPr>
        <w:spacing w:before="156" w:beforeLines="50" w:after="156" w:afterLines="50" w:line="56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第六章  智育(满分100分)</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第十三条 </w:t>
      </w:r>
      <w:r>
        <w:rPr>
          <w:rFonts w:hint="eastAsia" w:ascii="仿宋" w:hAnsi="仿宋" w:eastAsia="仿宋" w:cs="仿宋"/>
          <w:color w:val="000000" w:themeColor="text1"/>
          <w:sz w:val="32"/>
          <w:szCs w:val="32"/>
          <w14:textFill>
            <w14:solidFill>
              <w14:schemeClr w14:val="tx1"/>
            </w14:solidFill>
          </w14:textFill>
        </w:rPr>
        <w:t>智育成绩由课程成绩得分、学习能力加分（满分6分）、科技创新能力加分（满分4分）三项组成。</w:t>
      </w:r>
    </w:p>
    <w:p>
      <w:pPr>
        <w:spacing w:line="480" w:lineRule="exact"/>
        <w:ind w:firstLine="643"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第十四条 </w:t>
      </w:r>
      <w:r>
        <w:rPr>
          <w:rFonts w:hint="eastAsia" w:ascii="仿宋" w:hAnsi="仿宋" w:eastAsia="仿宋" w:cs="仿宋"/>
          <w:color w:val="000000" w:themeColor="text1"/>
          <w:sz w:val="32"/>
          <w:szCs w:val="32"/>
          <w14:textFill>
            <w14:solidFill>
              <w14:schemeClr w14:val="tx1"/>
            </w14:solidFill>
          </w14:textFill>
        </w:rPr>
        <w:t>课程是指按照教学计划开设的全部考试课程，不包括全校公共选修课，课程成绩（按学期计算）得分计算公式如下：</w:t>
      </w:r>
    </w:p>
    <w:p>
      <w:pPr>
        <w:spacing w:line="4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p>
    <w:tbl>
      <w:tblPr>
        <w:tblStyle w:val="6"/>
        <w:tblW w:w="8265" w:type="dxa"/>
        <w:tblInd w:w="12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132"/>
        <w:gridCol w:w="513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Pr>
        <w:tc>
          <w:tcPr>
            <w:tcW w:w="313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学期课程成绩得分 =</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640" w:firstLineChars="20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Σ学科成绩*该学科学期学分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Pr>
        <w:tc>
          <w:tcPr>
            <w:tcW w:w="3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40" w:firstLineChars="200"/>
              <w:jc w:val="left"/>
              <w:rPr>
                <w:rFonts w:ascii="仿宋" w:hAnsi="仿宋" w:eastAsia="仿宋" w:cs="仿宋"/>
                <w:color w:val="000000" w:themeColor="text1"/>
                <w:sz w:val="32"/>
                <w:szCs w:val="32"/>
                <w14:textFill>
                  <w14:solidFill>
                    <w14:schemeClr w14:val="tx1"/>
                  </w14:solidFill>
                </w14:textFill>
              </w:rPr>
            </w:pPr>
          </w:p>
        </w:tc>
        <w:tc>
          <w:tcPr>
            <w:tcW w:w="513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640" w:firstLineChars="20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本学期教学计划总学分</w:t>
            </w:r>
          </w:p>
        </w:tc>
      </w:tr>
    </w:tbl>
    <w:p>
      <w:pPr>
        <w:spacing w:line="480" w:lineRule="exact"/>
        <w:ind w:firstLine="643"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第十五条</w:t>
      </w:r>
      <w:r>
        <w:rPr>
          <w:rFonts w:hint="eastAsia" w:ascii="仿宋" w:hAnsi="仿宋" w:eastAsia="仿宋" w:cs="仿宋"/>
          <w:color w:val="000000" w:themeColor="text1"/>
          <w:sz w:val="32"/>
          <w:szCs w:val="32"/>
          <w14:textFill>
            <w14:solidFill>
              <w14:schemeClr w14:val="tx1"/>
            </w14:solidFill>
          </w14:textFill>
        </w:rPr>
        <w:t xml:space="preserve"> 学习能力（满分6分）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在全国学科竞赛中获得奖励者，按照一、二、三等奖的梯度分别加3、2、1分；在省级学科竞赛中获得奖励者，按照一、二、三等奖的梯度分别加2、1、0.5分；在校级学科竞赛中获得奖励者，按照一、二、三等奖的梯度分别加1、0.5、0.4分（以证书为准）。相关团体和协会组织的竞赛降一级加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全国技能竞赛中获得奖励者，按照一、二、三等奖的梯度分别加3、2、1分；在省级技能竞赛中获得奖励者，按照一、二、三等奖的梯度分别加2、1、0.5分；在校级技能竞赛中获得奖励者，按照一、二、三等奖的梯度分别加1、0.5、0.4分。相关团体和协会组织的竞赛降一级加分。（以证书为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（三）通过全国大学英语四级考试（CET-4）且成绩优秀者（四级成绩大于等于500分）加3分，成绩合格者2分。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（四）通过全国计算机等级考试，获二级证书者加3分，获三级证书者加2分（以证书为准）。通过普通话水平测试，获一级乙等以上证书加2分，获二级甲等、二级乙等加1分。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（五）通过“1+X”类证书或其他相关职业类证书加1分，累计不超过2分。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（六）院级社会实践论文按获奖等级一、二、三等分别加1分/篇、0.5分/篇、0.4分/篇。</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（七）在院刊、院网站、院微信平台或易班中心发表文章0.5分/篇，在系网站、系微信平台发表文章0.2分/篇，累计不超过2分。</w:t>
      </w:r>
    </w:p>
    <w:p>
      <w:pPr>
        <w:spacing w:line="480" w:lineRule="exact"/>
        <w:ind w:firstLine="643"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第十六条 </w:t>
      </w:r>
      <w:r>
        <w:rPr>
          <w:rFonts w:hint="eastAsia" w:ascii="仿宋" w:hAnsi="仿宋" w:eastAsia="仿宋" w:cs="仿宋"/>
          <w:color w:val="000000" w:themeColor="text1"/>
          <w:sz w:val="32"/>
          <w:szCs w:val="32"/>
          <w14:textFill>
            <w14:solidFill>
              <w14:schemeClr w14:val="tx1"/>
            </w14:solidFill>
          </w14:textFill>
        </w:rPr>
        <w:t>科技创新能力（满分4分 ）</w:t>
      </w:r>
    </w:p>
    <w:p>
      <w:pPr>
        <w:tabs>
          <w:tab w:val="left" w:pos="180"/>
        </w:tabs>
        <w:spacing w:line="48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参加全国举办的科技发明活动获得奖励者</w:t>
      </w:r>
      <w:r>
        <w:rPr>
          <w:rFonts w:hint="eastAsia" w:ascii="仿宋" w:hAnsi="仿宋" w:eastAsia="仿宋" w:cs="仿宋"/>
          <w:color w:val="000000" w:themeColor="text1"/>
          <w:sz w:val="32"/>
          <w:szCs w:val="32"/>
          <w14:textFill>
            <w14:solidFill>
              <w14:schemeClr w14:val="tx1"/>
            </w14:solidFill>
          </w14:textFill>
        </w:rPr>
        <w:t>，按照一、二、三等奖的梯度分别加3、2、1分；在省级“挑战杯”中获得奖励者，按照一、二、三等奖分别加2、1、0.5分；学院举办科技创新活动获得奖励者，按照一、二、三等奖分别加1、0.5、0.4分（以证书为准）。</w:t>
      </w:r>
    </w:p>
    <w:p>
      <w:pPr>
        <w:tabs>
          <w:tab w:val="left" w:pos="180"/>
        </w:tabs>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第十七条 </w:t>
      </w:r>
      <w:r>
        <w:rPr>
          <w:rFonts w:hint="eastAsia" w:ascii="仿宋" w:hAnsi="仿宋" w:eastAsia="仿宋" w:cs="仿宋"/>
          <w:color w:val="000000" w:themeColor="text1"/>
          <w:sz w:val="32"/>
          <w:szCs w:val="32"/>
          <w14:textFill>
            <w14:solidFill>
              <w14:schemeClr w14:val="tx1"/>
            </w14:solidFill>
          </w14:textFill>
        </w:rPr>
        <w:t>智育评分根据上述要求，依据附件2《承德应用技术职业学院学生综合素质测评智育评分标准》中相应打分标准，在附件3《承德应用技术职业学院学生综合素质测评德育评分表》中相应栏内填写加分项及分数。</w:t>
      </w:r>
    </w:p>
    <w:p>
      <w:pPr>
        <w:spacing w:before="156" w:beforeLines="50" w:after="156" w:afterLines="50" w:line="560" w:lineRule="exact"/>
        <w:jc w:val="center"/>
        <w:outlineLvl w:val="0"/>
        <w:rPr>
          <w:rFonts w:ascii="黑体" w:hAnsi="黑体" w:eastAsia="黑体" w:cs="黑体"/>
          <w:b/>
          <w:sz w:val="32"/>
          <w:szCs w:val="32"/>
        </w:rPr>
      </w:pPr>
      <w:r>
        <w:rPr>
          <w:rFonts w:hint="eastAsia" w:ascii="黑体" w:hAnsi="黑体" w:eastAsia="黑体" w:cs="黑体"/>
          <w:b/>
          <w:sz w:val="32"/>
          <w:szCs w:val="32"/>
        </w:rPr>
        <w:t>第七章 文体（劳）(满分100分)</w:t>
      </w:r>
    </w:p>
    <w:p>
      <w:pPr>
        <w:spacing w:line="480" w:lineRule="exact"/>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第十八条 </w:t>
      </w:r>
      <w:r>
        <w:rPr>
          <w:rFonts w:hint="eastAsia" w:ascii="仿宋" w:hAnsi="仿宋" w:eastAsia="仿宋" w:cs="仿宋"/>
          <w:color w:val="000000" w:themeColor="text1"/>
          <w:sz w:val="32"/>
          <w:szCs w:val="32"/>
          <w14:textFill>
            <w14:solidFill>
              <w14:schemeClr w14:val="tx1"/>
            </w14:solidFill>
          </w14:textFill>
        </w:rPr>
        <w:t>文体（劳）成绩由早操加分（满分30分），身体素质加分（满分10分），文体综合活动加分（满分60分）三项组成。</w:t>
      </w:r>
    </w:p>
    <w:p>
      <w:pPr>
        <w:spacing w:line="480" w:lineRule="exact"/>
        <w:ind w:firstLine="643"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第十九条 </w:t>
      </w:r>
      <w:r>
        <w:rPr>
          <w:rFonts w:hint="eastAsia" w:ascii="仿宋" w:hAnsi="仿宋" w:eastAsia="仿宋" w:cs="仿宋"/>
          <w:color w:val="000000" w:themeColor="text1"/>
          <w:sz w:val="32"/>
          <w:szCs w:val="32"/>
          <w14:textFill>
            <w14:solidFill>
              <w14:schemeClr w14:val="tx1"/>
            </w14:solidFill>
          </w14:textFill>
        </w:rPr>
        <w:t>早操成绩：30分×出勤率。</w:t>
      </w:r>
    </w:p>
    <w:p>
      <w:pPr>
        <w:spacing w:line="480" w:lineRule="exact"/>
        <w:ind w:firstLine="643"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第二十条 </w:t>
      </w:r>
      <w:r>
        <w:rPr>
          <w:rFonts w:hint="eastAsia" w:ascii="仿宋" w:hAnsi="仿宋" w:eastAsia="仿宋" w:cs="仿宋"/>
          <w:color w:val="000000" w:themeColor="text1"/>
          <w:sz w:val="32"/>
          <w:szCs w:val="32"/>
          <w14:textFill>
            <w14:solidFill>
              <w14:schemeClr w14:val="tx1"/>
            </w14:solidFill>
          </w14:textFill>
        </w:rPr>
        <w:t>身体素质：通过身体素质测试合格加10分。</w:t>
      </w:r>
    </w:p>
    <w:p>
      <w:pPr>
        <w:spacing w:line="480" w:lineRule="exact"/>
        <w:ind w:firstLine="643"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第二十一条 </w:t>
      </w:r>
      <w:r>
        <w:rPr>
          <w:rFonts w:hint="eastAsia" w:ascii="仿宋" w:hAnsi="仿宋" w:eastAsia="仿宋" w:cs="仿宋"/>
          <w:color w:val="000000" w:themeColor="text1"/>
          <w:sz w:val="32"/>
          <w:szCs w:val="32"/>
          <w14:textFill>
            <w14:solidFill>
              <w14:schemeClr w14:val="tx1"/>
            </w14:solidFill>
          </w14:textFill>
        </w:rPr>
        <w:t>文体综合活动加分包含八大类，满分为60分。</w:t>
      </w:r>
    </w:p>
    <w:p>
      <w:pPr>
        <w:spacing w:line="480" w:lineRule="exact"/>
        <w:ind w:firstLine="643" w:firstLineChars="200"/>
        <w:rPr>
          <w:rFonts w:ascii="仿宋" w:hAnsi="仿宋" w:eastAsia="仿宋" w:cs="仿宋"/>
          <w:sz w:val="32"/>
          <w:szCs w:val="32"/>
        </w:rPr>
      </w:pPr>
      <w:r>
        <w:rPr>
          <w:rFonts w:hint="eastAsia" w:ascii="仿宋" w:hAnsi="仿宋" w:eastAsia="仿宋" w:cs="仿宋"/>
          <w:b/>
          <w:color w:val="000000" w:themeColor="text1"/>
          <w:sz w:val="32"/>
          <w:szCs w:val="32"/>
          <w14:textFill>
            <w14:solidFill>
              <w14:schemeClr w14:val="tx1"/>
            </w14:solidFill>
          </w14:textFill>
        </w:rPr>
        <w:t xml:space="preserve">第二十二条 </w:t>
      </w:r>
      <w:r>
        <w:rPr>
          <w:rFonts w:hint="eastAsia" w:ascii="仿宋" w:hAnsi="仿宋" w:eastAsia="仿宋" w:cs="仿宋"/>
          <w:sz w:val="32"/>
          <w:szCs w:val="32"/>
        </w:rPr>
        <w:t>文体综合活动包括各类由官方或其他有重大社会影响的团体组织的文艺、体育、文化等竞赛性质的活动（第一类）。</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参加国家级文体竞赛，根据获奖名次，第一名或一等奖加7分，第二、三名或二等奖加6分，第四名以后或三等奖加5分，优秀奖加2分。参加省级文体竞赛，根据获奖名次，第一名或一等奖加6分，第二、三名或二等奖加5分，第四名以后或三等奖加3分，优秀奖加1.5分。参加市级文体竞赛，根据获奖名次，第一名或一等奖加3.5分，第二、三名或二等奖加分3，第四名及以后或三等奖加2.5分，优秀奖加1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参加学院组织的文体竞赛（包括体育节、艺术节、运动会等各类文体比赛），根据一、二、三等奖分别加2.5，2，1.5分，优秀奖及如人气奖等与名次无关奖项加1分，未获得名次加0.5分。另有名次的，第一、二、三名加2分，第四、五、六名加1.5分，第七、八名加1分。参加学院组织的团体类文体竞赛项目者，按名次第一、二、三名加2.5分，第四、五、六名加2分，第七、八名均加1.5分，未获名次的各队队员加0.5分。参加系部文体竞赛，一、二、三等奖分别加2，1.5，1分，优秀奖及如人气奖等与名次无关奖项加0.5分，未获得名次加0.2分。另有名次的，第一、二、三名加1.5分，第四、五、六名加1分，第七、八名加0.5分。（此项加分累计不超过10分，同项比赛不累计加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sz w:val="32"/>
          <w:szCs w:val="32"/>
        </w:rPr>
        <w:t>参加并承担学院组织的开学典礼、毕业典礼、节日庆典、运动会、文艺演出等大型活动演出任务的</w:t>
      </w:r>
      <w:r>
        <w:rPr>
          <w:rFonts w:hint="eastAsia" w:ascii="仿宋" w:hAnsi="仿宋" w:eastAsia="仿宋" w:cs="仿宋"/>
          <w:color w:val="000000" w:themeColor="text1"/>
          <w:sz w:val="32"/>
          <w:szCs w:val="32"/>
          <w14:textFill>
            <w14:solidFill>
              <w14:schemeClr w14:val="tx1"/>
            </w14:solidFill>
          </w14:textFill>
        </w:rPr>
        <w:t>，每人次加1分。（此类加分累计最高不超过3分）</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此项加分累计不超过3分）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参加学院各类征集活动(如征文、征创意、献言献策、书画展、摄影展、图片展等)按一、二、三等奖分别加3，2.5，2分，优秀奖加1.5分；参加系部级各类征集活动按一、二、三等奖、优秀奖及与名次无关奖项，如人气奖等分别加2，1.5，1,0.5分。（此项加分累计不超过5分）</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第二十三条</w:t>
      </w:r>
      <w:r>
        <w:rPr>
          <w:rFonts w:hint="eastAsia" w:ascii="仿宋" w:hAnsi="仿宋" w:eastAsia="仿宋" w:cs="仿宋"/>
          <w:color w:val="000000" w:themeColor="text1"/>
          <w:sz w:val="32"/>
          <w:szCs w:val="32"/>
          <w14:textFill>
            <w14:solidFill>
              <w14:schemeClr w14:val="tx1"/>
            </w14:solidFill>
          </w14:textFill>
        </w:rPr>
        <w:t xml:space="preserve"> 实践服务及劳动加分(第三类)</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（一）参与院、系组织的各种活动组织、礼仪、裁判、评委、执勤等服务者，每人次加分别0.5分；（此项加分累计不超过3分）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（二）参加学院组织的社会实践活动，每人次加0.5分；（此项加分累计不超过3分）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（三）参加各种志愿服务活动的，每人每次加0.5分；（此项加分累计不超过3分）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（四）参加无偿献血活动，每人每次加2分；</w:t>
      </w:r>
    </w:p>
    <w:p>
      <w:pPr>
        <w:pStyle w:val="3"/>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（五）参加校园卫生清洁、宿舍公共劳动、义务扫雪等其它由院劳动组织部门组织，学工处备案的劳动活动，每人每次加0.5分。（此项加分累计不超过3分）</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第二十四条 </w:t>
      </w:r>
      <w:r>
        <w:rPr>
          <w:rFonts w:hint="eastAsia" w:ascii="仿宋" w:hAnsi="仿宋" w:eastAsia="仿宋" w:cs="仿宋"/>
          <w:color w:val="000000" w:themeColor="text1"/>
          <w:sz w:val="32"/>
          <w:szCs w:val="32"/>
          <w14:textFill>
            <w14:solidFill>
              <w14:schemeClr w14:val="tx1"/>
            </w14:solidFill>
          </w14:textFill>
        </w:rPr>
        <w:t xml:space="preserve">荣誉称号加分 (第四类)  </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（一）被评为国家、省部、市级先进个人,分别加7分、6分、3.5分。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（二）荣获院级各类荣誉称号 (包括学院十佳团员、优秀团干部、优秀团员、社会实践先进个人等，不包括三好学生、优秀学生干部等）者加2.5分，其他各系部级荣誉加1分。荣获各社团社部门内的个人荣誉按照系部级荣誉予以加分。（此项加分累计不超过7分）</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第二十五条 </w:t>
      </w:r>
      <w:r>
        <w:rPr>
          <w:rFonts w:hint="eastAsia" w:ascii="仿宋" w:hAnsi="仿宋" w:eastAsia="仿宋" w:cs="仿宋"/>
          <w:color w:val="000000" w:themeColor="text1"/>
          <w:sz w:val="32"/>
          <w:szCs w:val="32"/>
          <w14:textFill>
            <w14:solidFill>
              <w14:schemeClr w14:val="tx1"/>
            </w14:solidFill>
          </w14:textFill>
        </w:rPr>
        <w:t>宿舍文化活动类加分（第五类）</w:t>
      </w:r>
    </w:p>
    <w:p>
      <w:pPr>
        <w:numPr>
          <w:ilvl w:val="0"/>
          <w:numId w:val="1"/>
        </w:num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被评为院级十佳舍长者加2.5分，所在宿舍其他成员加2分；被评为系部十佳舍长者加2分，所在宿舍其他成员加1分。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被评为院级文明宿舍、优秀宿舍等称号，宿舍成员每人加1分；被评为系部级文明宿舍、优秀等宿舍等称号，宿舍成员每人加0.5分，同类相似荣誉参照此条例加分。（此项加分累计不超过2分，同项不累计计分）</w:t>
      </w:r>
    </w:p>
    <w:p>
      <w:pPr>
        <w:spacing w:line="4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第二十六条 </w:t>
      </w:r>
      <w:r>
        <w:rPr>
          <w:rFonts w:hint="eastAsia" w:ascii="仿宋" w:hAnsi="仿宋" w:eastAsia="仿宋" w:cs="仿宋"/>
          <w:color w:val="000000" w:themeColor="text1"/>
          <w:sz w:val="32"/>
          <w:szCs w:val="32"/>
          <w14:textFill>
            <w14:solidFill>
              <w14:schemeClr w14:val="tx1"/>
            </w14:solidFill>
          </w14:textFill>
        </w:rPr>
        <w:t>图书馆活动类加分（第六类）</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在图书馆举办的读书等各类活动中获奖者，分别以一等奖或第一、二、三名，二等奖或第四、五、六名，三等奖或第七、八名，分别加2，1.5，1分，优秀奖及如人气奖等与名次无关奖项加0.5分。（此项加分累计不超过4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（二）根据图书馆相关数据，学生进入图书馆读书的次数，每班第一、二、三名加1.5分，第四、五、六名加1分，第七、八、九、十名加0.5分。</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（三）根据学生借书数量，每班第一、二、三名加1.5分，第四、五、六名加1分，第七、八、九、十名加0.5分。</w:t>
      </w:r>
    </w:p>
    <w:p>
      <w:pPr>
        <w:spacing w:line="48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第二十七条 </w:t>
      </w:r>
      <w:r>
        <w:rPr>
          <w:rFonts w:hint="eastAsia" w:ascii="仿宋" w:hAnsi="仿宋" w:eastAsia="仿宋" w:cs="仿宋"/>
          <w:color w:val="000000" w:themeColor="text1"/>
          <w:sz w:val="32"/>
          <w:szCs w:val="32"/>
          <w14:textFill>
            <w14:solidFill>
              <w14:schemeClr w14:val="tx1"/>
            </w14:solidFill>
          </w14:textFill>
        </w:rPr>
        <w:t>报告会参与加分（第七类）</w:t>
      </w:r>
    </w:p>
    <w:p>
      <w:pPr>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积极参与学院所开展的各类型报告会，每人每次凭院系里证明加0.5分。（此类加分累计最高不超过3分）</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学生干部加分（第八类）</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院学生会主席加3分，副主席加2.5分，团委副书记加2.5分，部长加2分，副部长加1.5分，部员加1分；系学生会主席加2分，副主席加1.5分，团总支副书记加1.5分，部长加1分，副部长加0.5分，部员加0.3分；班长加1分，团支书加1分，其他班委0.5分，宿舍长加0.2分。其他学生组织负责人参照上述办法进行加分。</w:t>
      </w:r>
      <w:r>
        <w:rPr>
          <w:rFonts w:hint="eastAsia" w:ascii="仿宋" w:hAnsi="仿宋" w:eastAsia="仿宋" w:cs="仿宋"/>
          <w:color w:val="000000" w:themeColor="text1"/>
          <w:sz w:val="32"/>
          <w:szCs w:val="32"/>
          <w14:textFill>
            <w14:solidFill>
              <w14:schemeClr w14:val="tx1"/>
            </w14:solidFill>
          </w14:textFill>
        </w:rPr>
        <w:t>（此项加分累计不超过3分）</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第二十九条</w:t>
      </w:r>
      <w:r>
        <w:rPr>
          <w:rFonts w:hint="eastAsia" w:ascii="仿宋" w:hAnsi="仿宋" w:eastAsia="仿宋" w:cs="仿宋"/>
          <w:sz w:val="32"/>
          <w:szCs w:val="32"/>
        </w:rPr>
        <w:t xml:space="preserve"> 以上文体（劳）活动类加分均需要出示证书或证明原件；文体（劳）评分根据上述要求，</w:t>
      </w:r>
      <w:r>
        <w:rPr>
          <w:rFonts w:hint="eastAsia" w:ascii="仿宋" w:hAnsi="仿宋" w:eastAsia="仿宋" w:cs="仿宋"/>
          <w:color w:val="000000" w:themeColor="text1"/>
          <w:sz w:val="32"/>
          <w:szCs w:val="32"/>
          <w14:textFill>
            <w14:solidFill>
              <w14:schemeClr w14:val="tx1"/>
            </w14:solidFill>
          </w14:textFill>
        </w:rPr>
        <w:t>依据附件4《承德应用技术职业学院学生综合素质测评文体（劳）评分标准》中相应打分标准，在附件5《承德应用技术职业学院学生综合素质测评文体（劳）评分表》中相应栏内填写加分项及分数</w:t>
      </w:r>
      <w:r>
        <w:rPr>
          <w:rFonts w:hint="eastAsia" w:ascii="仿宋" w:hAnsi="仿宋" w:eastAsia="仿宋" w:cs="仿宋"/>
          <w:sz w:val="32"/>
          <w:szCs w:val="32"/>
        </w:rPr>
        <w:t>。</w:t>
      </w:r>
    </w:p>
    <w:p>
      <w:pPr>
        <w:spacing w:before="156" w:beforeLines="50" w:after="156" w:afterLines="50" w:line="56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第八章  综合测评纪律</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第三十条</w:t>
      </w:r>
      <w:r>
        <w:rPr>
          <w:rFonts w:hint="eastAsia" w:ascii="仿宋" w:hAnsi="仿宋" w:eastAsia="仿宋" w:cs="仿宋"/>
          <w:sz w:val="32"/>
          <w:szCs w:val="32"/>
        </w:rPr>
        <w:t xml:space="preserve"> 班级综合测评小组必须严格遵守本测评实施办法，保证按时完成各项测评任务。如有严重不负责的渎职行为而影响系部测评工作进度的，依据情节轻重予以严肃处理。</w:t>
      </w:r>
    </w:p>
    <w:p>
      <w:pPr>
        <w:widowControl/>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第三十一条</w:t>
      </w:r>
      <w:r>
        <w:rPr>
          <w:rFonts w:hint="eastAsia" w:ascii="仿宋" w:hAnsi="仿宋" w:eastAsia="仿宋" w:cs="仿宋"/>
          <w:sz w:val="32"/>
          <w:szCs w:val="32"/>
        </w:rPr>
        <w:t xml:space="preserve"> 班级综合测评小组必须在系部综合测评领导小组的领导下开展工作，要坚持“公正、公平、客观、民主”原则，认真听取同学的不同意见，发现错误及时纠正，自觉接受同学的民主监督。各系、班级要重视原材料的搜集、整理，建立健全学生平时表现的记实性考核、管理制度，确保测评的客观性。</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第三十二条</w:t>
      </w:r>
      <w:r>
        <w:rPr>
          <w:rFonts w:hint="eastAsia" w:ascii="仿宋" w:hAnsi="仿宋" w:eastAsia="仿宋" w:cs="仿宋"/>
          <w:sz w:val="32"/>
          <w:szCs w:val="32"/>
        </w:rPr>
        <w:t xml:space="preserve"> 测评过程中所有加分和扣分须经学院、系（院）综合测评领导小组及相关部门审核盖章后方可生效。在测评过程中，如有循私舞弊，弄虚作假，扰乱测评秩序，妨碍测评正常进行等不良行为者，一经查实，将给予相关人员全校通报批评；情节严重者，取消参加本次综合测评的资格，并按照学院相关规定进行处理。</w:t>
      </w:r>
    </w:p>
    <w:p>
      <w:pPr>
        <w:widowControl/>
        <w:shd w:val="clear" w:color="auto" w:fill="FFFFFF"/>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 xml:space="preserve">第三十三条 </w:t>
      </w:r>
      <w:r>
        <w:rPr>
          <w:rFonts w:hint="eastAsia" w:ascii="仿宋" w:hAnsi="仿宋" w:eastAsia="仿宋" w:cs="仿宋"/>
          <w:sz w:val="32"/>
          <w:szCs w:val="32"/>
        </w:rPr>
        <w:t>本办法适用于我院全日制大专在籍在校学生，扩招提升学生参照执行。</w:t>
      </w:r>
    </w:p>
    <w:p>
      <w:pPr>
        <w:widowControl/>
        <w:shd w:val="clear" w:color="auto" w:fill="FFFFFF"/>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 xml:space="preserve">第三十四条 </w:t>
      </w:r>
      <w:r>
        <w:rPr>
          <w:rFonts w:hint="eastAsia" w:ascii="仿宋" w:hAnsi="仿宋" w:eastAsia="仿宋" w:cs="仿宋"/>
          <w:sz w:val="32"/>
          <w:szCs w:val="32"/>
        </w:rPr>
        <w:t>本办法由学工处（团委）、教务处负责解释，各系（院）可在本办法基础上</w:t>
      </w:r>
      <w:r>
        <w:rPr>
          <w:rFonts w:hint="eastAsia" w:ascii="仿宋" w:hAnsi="仿宋" w:eastAsia="仿宋"/>
          <w:color w:val="141414"/>
          <w:sz w:val="30"/>
          <w:szCs w:val="30"/>
        </w:rPr>
        <w:t>根据实际情况制定具体的实施细则，并报学生处备案。</w:t>
      </w:r>
    </w:p>
    <w:p>
      <w:pPr>
        <w:widowControl/>
        <w:shd w:val="clear" w:color="auto" w:fill="FFFFFF"/>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 xml:space="preserve">第三十五条 </w:t>
      </w:r>
      <w:r>
        <w:rPr>
          <w:rFonts w:hint="eastAsia" w:ascii="仿宋" w:hAnsi="仿宋" w:eastAsia="仿宋" w:cs="仿宋"/>
          <w:sz w:val="32"/>
          <w:szCs w:val="32"/>
        </w:rPr>
        <w:t>本办法自颁布之日起施行。</w:t>
      </w:r>
    </w:p>
    <w:p>
      <w:pPr>
        <w:spacing w:after="156" w:afterLines="50" w:line="440" w:lineRule="exact"/>
        <w:rPr>
          <w:rFonts w:asciiTheme="minorEastAsia" w:hAnsiTheme="minorEastAsia"/>
          <w:b/>
          <w:sz w:val="28"/>
          <w:szCs w:val="28"/>
        </w:rPr>
      </w:pPr>
    </w:p>
    <w:p>
      <w:pPr>
        <w:spacing w:line="480" w:lineRule="exact"/>
        <w:rPr>
          <w:rFonts w:ascii="仿宋" w:hAnsi="仿宋" w:eastAsia="仿宋" w:cs="仿宋"/>
          <w:sz w:val="32"/>
          <w:szCs w:val="32"/>
        </w:rPr>
      </w:pPr>
      <w:r>
        <w:rPr>
          <w:rFonts w:hint="eastAsia" w:ascii="仿宋" w:hAnsi="仿宋" w:eastAsia="仿宋" w:cs="仿宋"/>
          <w:sz w:val="32"/>
          <w:szCs w:val="32"/>
        </w:rPr>
        <w:t>　　附件：1.承德应用技术职业学院学生综合素质测评德育评分表</w:t>
      </w:r>
    </w:p>
    <w:p>
      <w:pPr>
        <w:spacing w:line="480" w:lineRule="exact"/>
        <w:ind w:firstLine="1600" w:firstLineChars="500"/>
        <w:rPr>
          <w:rFonts w:ascii="仿宋" w:hAnsi="仿宋" w:eastAsia="仿宋" w:cs="仿宋"/>
          <w:sz w:val="32"/>
          <w:szCs w:val="32"/>
        </w:rPr>
      </w:pPr>
      <w:r>
        <w:rPr>
          <w:rFonts w:hint="eastAsia" w:ascii="仿宋" w:hAnsi="仿宋" w:eastAsia="仿宋" w:cs="仿宋"/>
          <w:sz w:val="32"/>
          <w:szCs w:val="32"/>
        </w:rPr>
        <w:t>2.承德应用技术职业学院学生综合素质测评智育评分标准</w:t>
      </w:r>
    </w:p>
    <w:p>
      <w:pPr>
        <w:spacing w:line="480" w:lineRule="exact"/>
        <w:ind w:firstLine="1600" w:firstLineChars="500"/>
        <w:rPr>
          <w:rFonts w:ascii="仿宋" w:hAnsi="仿宋" w:eastAsia="仿宋" w:cs="仿宋"/>
          <w:sz w:val="32"/>
          <w:szCs w:val="32"/>
        </w:rPr>
      </w:pPr>
      <w:r>
        <w:rPr>
          <w:rFonts w:hint="eastAsia" w:ascii="仿宋" w:hAnsi="仿宋" w:eastAsia="仿宋" w:cs="仿宋"/>
          <w:sz w:val="32"/>
          <w:szCs w:val="32"/>
        </w:rPr>
        <w:t>3.承德应用技术职业学院学生综合素质测评智育评分表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4.承德应用技术职业学院学生综合素质测评文体（劳）评分标准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5.承德应用技术职业学院学生综合素质测评文体（劳）评分表</w:t>
      </w:r>
    </w:p>
    <w:p>
      <w:pPr>
        <w:spacing w:line="480" w:lineRule="exact"/>
        <w:ind w:firstLine="1600" w:firstLineChars="500"/>
        <w:rPr>
          <w:rFonts w:ascii="仿宋" w:hAnsi="仿宋" w:eastAsia="仿宋" w:cs="仿宋"/>
          <w:sz w:val="32"/>
          <w:szCs w:val="32"/>
        </w:rPr>
      </w:pPr>
      <w:r>
        <w:rPr>
          <w:rFonts w:hint="eastAsia" w:ascii="仿宋" w:hAnsi="仿宋" w:eastAsia="仿宋" w:cs="仿宋"/>
          <w:sz w:val="32"/>
          <w:szCs w:val="32"/>
        </w:rPr>
        <w:t>6.承德应用技术职业学院学生综合素质测评统计表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after="156" w:afterLines="50" w:line="440" w:lineRule="exact"/>
        <w:rPr>
          <w:rFonts w:ascii="宋体" w:hAnsi="宋体"/>
          <w:b/>
          <w:sz w:val="24"/>
        </w:rPr>
        <w:sectPr>
          <w:footerReference r:id="rId4" w:type="first"/>
          <w:footerReference r:id="rId3" w:type="default"/>
          <w:pgSz w:w="11906" w:h="16838"/>
          <w:pgMar w:top="1440" w:right="1800" w:bottom="1440" w:left="1800" w:header="851" w:footer="992" w:gutter="0"/>
          <w:pgNumType w:fmt="numberInDash" w:start="1"/>
          <w:cols w:space="720" w:num="1"/>
          <w:titlePg/>
          <w:docGrid w:type="lines" w:linePitch="312" w:charSpace="0"/>
        </w:sectPr>
      </w:pPr>
    </w:p>
    <w:p>
      <w:pPr>
        <w:spacing w:after="156" w:afterLines="50" w:line="440" w:lineRule="exact"/>
      </w:pPr>
      <w:r>
        <w:rPr>
          <w:rFonts w:hint="eastAsia" w:ascii="宋体" w:hAnsi="宋体"/>
          <w:b/>
          <w:sz w:val="24"/>
        </w:rPr>
        <w:t>附件1</w:t>
      </w:r>
    </w:p>
    <w:p>
      <w:pPr>
        <w:spacing w:after="156" w:afterLines="50" w:line="440" w:lineRule="exact"/>
        <w:jc w:val="center"/>
        <w:rPr>
          <w:rFonts w:ascii="黑体" w:eastAsia="黑体"/>
          <w:b/>
          <w:sz w:val="32"/>
          <w:szCs w:val="32"/>
        </w:rPr>
      </w:pPr>
      <w:r>
        <w:rPr>
          <w:rFonts w:hint="eastAsia" w:ascii="黑体" w:eastAsia="黑体"/>
          <w:b/>
          <w:sz w:val="32"/>
          <w:szCs w:val="32"/>
        </w:rPr>
        <w:t>承德应用技术职业学院学生综合素质测评德育评分表</w:t>
      </w:r>
    </w:p>
    <w:p>
      <w:pPr>
        <w:spacing w:line="440" w:lineRule="exact"/>
        <w:ind w:firstLine="1920" w:firstLineChars="800"/>
        <w:rPr>
          <w:sz w:val="24"/>
        </w:rPr>
      </w:pPr>
      <w:r>
        <w:rPr>
          <w:rFonts w:hint="eastAsia"/>
          <w:sz w:val="24"/>
        </w:rPr>
        <w:t>系部：班级：</w:t>
      </w:r>
    </w:p>
    <w:tbl>
      <w:tblPr>
        <w:tblStyle w:val="6"/>
        <w:tblpPr w:leftFromText="180" w:rightFromText="180" w:vertAnchor="text" w:horzAnchor="page" w:tblpX="2026" w:tblpY="64"/>
        <w:tblOverlap w:val="never"/>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24"/>
        <w:gridCol w:w="1897"/>
        <w:gridCol w:w="1700"/>
        <w:gridCol w:w="188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5" w:type="dxa"/>
            <w:vAlign w:val="center"/>
          </w:tcPr>
          <w:p>
            <w:pPr>
              <w:spacing w:line="440" w:lineRule="exact"/>
              <w:jc w:val="center"/>
              <w:rPr>
                <w:rFonts w:ascii="宋体" w:hAnsi="宋体"/>
                <w:kern w:val="0"/>
                <w:szCs w:val="21"/>
              </w:rPr>
            </w:pPr>
            <w:r>
              <w:rPr>
                <w:rFonts w:hint="eastAsia" w:ascii="宋体" w:hAnsi="宋体"/>
                <w:kern w:val="0"/>
                <w:szCs w:val="21"/>
              </w:rPr>
              <w:t>序号</w:t>
            </w:r>
          </w:p>
        </w:tc>
        <w:tc>
          <w:tcPr>
            <w:tcW w:w="1124" w:type="dxa"/>
            <w:vAlign w:val="center"/>
          </w:tcPr>
          <w:p>
            <w:pPr>
              <w:spacing w:line="440" w:lineRule="exact"/>
              <w:jc w:val="center"/>
              <w:rPr>
                <w:szCs w:val="21"/>
              </w:rPr>
            </w:pPr>
            <w:r>
              <w:rPr>
                <w:rFonts w:hint="eastAsia"/>
                <w:szCs w:val="21"/>
              </w:rPr>
              <w:t>姓名</w:t>
            </w:r>
          </w:p>
        </w:tc>
        <w:tc>
          <w:tcPr>
            <w:tcW w:w="1897" w:type="dxa"/>
            <w:vAlign w:val="center"/>
          </w:tcPr>
          <w:p>
            <w:pPr>
              <w:spacing w:line="440" w:lineRule="exact"/>
              <w:jc w:val="center"/>
              <w:rPr>
                <w:szCs w:val="21"/>
              </w:rPr>
            </w:pPr>
            <w:r>
              <w:rPr>
                <w:rFonts w:hint="eastAsia"/>
                <w:szCs w:val="21"/>
              </w:rPr>
              <w:t>班级代表评议（10%）</w:t>
            </w:r>
          </w:p>
        </w:tc>
        <w:tc>
          <w:tcPr>
            <w:tcW w:w="1700" w:type="dxa"/>
            <w:vAlign w:val="center"/>
          </w:tcPr>
          <w:p>
            <w:pPr>
              <w:spacing w:line="440" w:lineRule="exact"/>
              <w:jc w:val="center"/>
              <w:rPr>
                <w:szCs w:val="21"/>
              </w:rPr>
            </w:pPr>
            <w:r>
              <w:rPr>
                <w:rFonts w:hint="eastAsia"/>
                <w:szCs w:val="21"/>
              </w:rPr>
              <w:t>辅导员评分</w:t>
            </w:r>
          </w:p>
          <w:p>
            <w:pPr>
              <w:spacing w:line="440" w:lineRule="exact"/>
              <w:jc w:val="center"/>
              <w:rPr>
                <w:szCs w:val="21"/>
              </w:rPr>
            </w:pPr>
            <w:r>
              <w:rPr>
                <w:rFonts w:hint="eastAsia"/>
                <w:szCs w:val="21"/>
              </w:rPr>
              <w:t>（30%）</w:t>
            </w:r>
          </w:p>
        </w:tc>
        <w:tc>
          <w:tcPr>
            <w:tcW w:w="1889" w:type="dxa"/>
            <w:vAlign w:val="center"/>
          </w:tcPr>
          <w:p>
            <w:pPr>
              <w:spacing w:line="440" w:lineRule="exact"/>
              <w:jc w:val="center"/>
              <w:rPr>
                <w:szCs w:val="21"/>
              </w:rPr>
            </w:pPr>
            <w:r>
              <w:rPr>
                <w:rFonts w:hint="eastAsia"/>
                <w:szCs w:val="21"/>
              </w:rPr>
              <w:t>操行积分（50%）</w:t>
            </w:r>
          </w:p>
        </w:tc>
        <w:tc>
          <w:tcPr>
            <w:tcW w:w="1081" w:type="dxa"/>
            <w:vAlign w:val="center"/>
          </w:tcPr>
          <w:p>
            <w:pPr>
              <w:spacing w:line="440" w:lineRule="exact"/>
              <w:jc w:val="center"/>
              <w:rPr>
                <w:szCs w:val="21"/>
              </w:rPr>
            </w:pPr>
            <w:r>
              <w:rPr>
                <w:rFonts w:hint="eastAsia"/>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2</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3</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4</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5</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6</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7</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8</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9</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10</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11</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12</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13</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14</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15</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16</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17</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18</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19</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20</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21</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22</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23</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5" w:type="dxa"/>
          </w:tcPr>
          <w:p>
            <w:pPr>
              <w:spacing w:line="440" w:lineRule="exact"/>
              <w:jc w:val="left"/>
              <w:rPr>
                <w:szCs w:val="21"/>
              </w:rPr>
            </w:pPr>
            <w:r>
              <w:rPr>
                <w:rFonts w:hint="eastAsia"/>
                <w:szCs w:val="21"/>
              </w:rPr>
              <w:t>24</w:t>
            </w:r>
          </w:p>
        </w:tc>
        <w:tc>
          <w:tcPr>
            <w:tcW w:w="1124" w:type="dxa"/>
          </w:tcPr>
          <w:p>
            <w:pPr>
              <w:spacing w:line="440" w:lineRule="exact"/>
              <w:jc w:val="left"/>
              <w:rPr>
                <w:szCs w:val="21"/>
              </w:rPr>
            </w:pPr>
          </w:p>
        </w:tc>
        <w:tc>
          <w:tcPr>
            <w:tcW w:w="1897" w:type="dxa"/>
          </w:tcPr>
          <w:p>
            <w:pPr>
              <w:spacing w:line="440" w:lineRule="exact"/>
              <w:jc w:val="left"/>
              <w:rPr>
                <w:szCs w:val="21"/>
              </w:rPr>
            </w:pPr>
          </w:p>
        </w:tc>
        <w:tc>
          <w:tcPr>
            <w:tcW w:w="1700" w:type="dxa"/>
          </w:tcPr>
          <w:p>
            <w:pPr>
              <w:spacing w:line="440" w:lineRule="exact"/>
              <w:jc w:val="left"/>
              <w:rPr>
                <w:szCs w:val="21"/>
              </w:rPr>
            </w:pPr>
          </w:p>
        </w:tc>
        <w:tc>
          <w:tcPr>
            <w:tcW w:w="1889" w:type="dxa"/>
          </w:tcPr>
          <w:p>
            <w:pPr>
              <w:spacing w:line="440" w:lineRule="exact"/>
              <w:jc w:val="left"/>
              <w:rPr>
                <w:szCs w:val="21"/>
              </w:rPr>
            </w:pPr>
          </w:p>
        </w:tc>
        <w:tc>
          <w:tcPr>
            <w:tcW w:w="1081" w:type="dxa"/>
          </w:tcPr>
          <w:p>
            <w:pPr>
              <w:spacing w:line="440" w:lineRule="exact"/>
              <w:jc w:val="left"/>
              <w:rPr>
                <w:szCs w:val="21"/>
              </w:rPr>
            </w:pPr>
          </w:p>
        </w:tc>
      </w:tr>
    </w:tbl>
    <w:p>
      <w:pPr>
        <w:rPr>
          <w:rFonts w:ascii="宋体" w:hAnsi="宋体"/>
          <w:b/>
          <w:sz w:val="24"/>
        </w:rPr>
        <w:sectPr>
          <w:footerReference r:id="rId5" w:type="default"/>
          <w:pgSz w:w="11906" w:h="16838"/>
          <w:pgMar w:top="1440" w:right="1800" w:bottom="1440" w:left="1800" w:header="851" w:footer="992" w:gutter="0"/>
          <w:pgNumType w:fmt="numberInDash"/>
          <w:cols w:space="720" w:num="1"/>
          <w:docGrid w:type="lines" w:linePitch="312" w:charSpace="0"/>
        </w:sectPr>
      </w:pPr>
    </w:p>
    <w:p>
      <w:pPr>
        <w:spacing w:after="156" w:afterLines="50" w:line="440" w:lineRule="exact"/>
      </w:pPr>
      <w:r>
        <w:rPr>
          <w:rFonts w:hint="eastAsia" w:ascii="宋体" w:hAnsi="宋体"/>
          <w:b/>
          <w:sz w:val="24"/>
        </w:rPr>
        <w:t>附件2</w:t>
      </w:r>
    </w:p>
    <w:p>
      <w:pPr>
        <w:spacing w:after="156" w:afterLines="50" w:line="440" w:lineRule="exact"/>
        <w:jc w:val="center"/>
        <w:rPr>
          <w:sz w:val="24"/>
        </w:rPr>
      </w:pPr>
      <w:r>
        <w:rPr>
          <w:rFonts w:hint="eastAsia" w:ascii="黑体" w:eastAsia="黑体"/>
          <w:b/>
          <w:sz w:val="32"/>
          <w:szCs w:val="32"/>
        </w:rPr>
        <w:t>承德应用技术职业学院学生综合素质测评智育评分标准</w:t>
      </w:r>
    </w:p>
    <w:tbl>
      <w:tblPr>
        <w:tblStyle w:val="6"/>
        <w:tblpPr w:leftFromText="180" w:rightFromText="180" w:vertAnchor="text" w:horzAnchor="page" w:tblpX="1904" w:tblpY="64"/>
        <w:tblOverlap w:val="never"/>
        <w:tblW w:w="8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321"/>
        <w:gridCol w:w="2020"/>
        <w:gridCol w:w="145"/>
        <w:gridCol w:w="1814"/>
        <w:gridCol w:w="61"/>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9" w:type="dxa"/>
            <w:vAlign w:val="center"/>
          </w:tcPr>
          <w:p>
            <w:pPr>
              <w:spacing w:line="440" w:lineRule="exact"/>
              <w:jc w:val="center"/>
              <w:rPr>
                <w:szCs w:val="21"/>
              </w:rPr>
            </w:pPr>
            <w:r>
              <w:rPr>
                <w:rFonts w:hint="eastAsia"/>
                <w:szCs w:val="21"/>
              </w:rPr>
              <w:t>类别</w:t>
            </w:r>
          </w:p>
        </w:tc>
        <w:tc>
          <w:tcPr>
            <w:tcW w:w="1321" w:type="dxa"/>
            <w:vAlign w:val="center"/>
          </w:tcPr>
          <w:p>
            <w:pPr>
              <w:spacing w:line="440" w:lineRule="exact"/>
              <w:jc w:val="center"/>
              <w:rPr>
                <w:rFonts w:ascii="宋体" w:hAnsi="宋体"/>
                <w:kern w:val="0"/>
                <w:szCs w:val="21"/>
              </w:rPr>
            </w:pPr>
            <w:r>
              <w:rPr>
                <w:rFonts w:hint="eastAsia"/>
                <w:szCs w:val="21"/>
              </w:rPr>
              <w:t>项目</w:t>
            </w:r>
          </w:p>
        </w:tc>
        <w:tc>
          <w:tcPr>
            <w:tcW w:w="2165" w:type="dxa"/>
            <w:gridSpan w:val="2"/>
            <w:vAlign w:val="center"/>
          </w:tcPr>
          <w:p>
            <w:pPr>
              <w:spacing w:line="440" w:lineRule="exact"/>
              <w:jc w:val="center"/>
              <w:rPr>
                <w:rFonts w:ascii="宋体" w:hAnsi="宋体"/>
                <w:kern w:val="0"/>
                <w:szCs w:val="21"/>
              </w:rPr>
            </w:pPr>
            <w:r>
              <w:rPr>
                <w:rFonts w:hint="eastAsia" w:ascii="宋体" w:hAnsi="宋体"/>
                <w:kern w:val="0"/>
                <w:szCs w:val="21"/>
              </w:rPr>
              <w:t>国家级</w:t>
            </w:r>
          </w:p>
        </w:tc>
        <w:tc>
          <w:tcPr>
            <w:tcW w:w="1814" w:type="dxa"/>
            <w:vAlign w:val="center"/>
          </w:tcPr>
          <w:p>
            <w:pPr>
              <w:spacing w:line="440" w:lineRule="exact"/>
              <w:jc w:val="center"/>
              <w:rPr>
                <w:rFonts w:ascii="宋体" w:hAnsi="宋体"/>
                <w:kern w:val="0"/>
                <w:szCs w:val="21"/>
              </w:rPr>
            </w:pPr>
            <w:r>
              <w:rPr>
                <w:rFonts w:hint="eastAsia" w:ascii="宋体" w:hAnsi="宋体"/>
                <w:kern w:val="0"/>
                <w:szCs w:val="21"/>
              </w:rPr>
              <w:t>省部级</w:t>
            </w:r>
          </w:p>
        </w:tc>
        <w:tc>
          <w:tcPr>
            <w:tcW w:w="2084" w:type="dxa"/>
            <w:gridSpan w:val="2"/>
            <w:vAlign w:val="center"/>
          </w:tcPr>
          <w:p>
            <w:pPr>
              <w:spacing w:line="440" w:lineRule="exact"/>
              <w:jc w:val="center"/>
              <w:rPr>
                <w:szCs w:val="21"/>
              </w:rPr>
            </w:pPr>
            <w:r>
              <w:rPr>
                <w:rFonts w:hint="eastAsia" w:ascii="宋体" w:hAnsi="宋体"/>
                <w:kern w:val="0"/>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9" w:type="dxa"/>
            <w:vAlign w:val="center"/>
          </w:tcPr>
          <w:p>
            <w:pPr>
              <w:spacing w:line="440" w:lineRule="exact"/>
              <w:jc w:val="center"/>
              <w:rPr>
                <w:b/>
                <w:bCs/>
                <w:szCs w:val="21"/>
              </w:rPr>
            </w:pPr>
            <w:r>
              <w:rPr>
                <w:rFonts w:hint="eastAsia"/>
                <w:b/>
                <w:bCs/>
                <w:szCs w:val="21"/>
              </w:rPr>
              <w:t>课程</w:t>
            </w:r>
          </w:p>
          <w:p>
            <w:pPr>
              <w:spacing w:line="440" w:lineRule="exact"/>
              <w:jc w:val="center"/>
              <w:rPr>
                <w:szCs w:val="21"/>
              </w:rPr>
            </w:pPr>
            <w:r>
              <w:rPr>
                <w:rFonts w:hint="eastAsia"/>
                <w:b/>
                <w:bCs/>
                <w:szCs w:val="21"/>
              </w:rPr>
              <w:t>成绩</w:t>
            </w:r>
          </w:p>
        </w:tc>
        <w:tc>
          <w:tcPr>
            <w:tcW w:w="1321" w:type="dxa"/>
            <w:vAlign w:val="center"/>
          </w:tcPr>
          <w:p>
            <w:pPr>
              <w:spacing w:line="440" w:lineRule="exact"/>
              <w:jc w:val="center"/>
              <w:rPr>
                <w:szCs w:val="21"/>
              </w:rPr>
            </w:pPr>
            <w:r>
              <w:rPr>
                <w:rFonts w:hint="eastAsia"/>
                <w:szCs w:val="21"/>
              </w:rPr>
              <w:t>课程平均分</w:t>
            </w:r>
          </w:p>
        </w:tc>
        <w:tc>
          <w:tcPr>
            <w:tcW w:w="6063" w:type="dxa"/>
            <w:gridSpan w:val="5"/>
            <w:vAlign w:val="center"/>
          </w:tcPr>
          <w:p>
            <w:pPr>
              <w:spacing w:line="440" w:lineRule="exact"/>
              <w:jc w:val="center"/>
              <w:rPr>
                <w:szCs w:val="21"/>
              </w:rPr>
            </w:pPr>
            <w:r>
              <w:rPr>
                <w:rFonts w:hint="eastAsia"/>
                <w:szCs w:val="21"/>
              </w:rPr>
              <w:t>教学计划安排的全部课程，不包括全校公共选修课，</w:t>
            </w:r>
          </w:p>
          <w:p>
            <w:pPr>
              <w:spacing w:line="440" w:lineRule="exact"/>
              <w:jc w:val="center"/>
              <w:rPr>
                <w:rFonts w:ascii="宋体" w:hAnsi="宋体"/>
                <w:kern w:val="0"/>
                <w:szCs w:val="21"/>
              </w:rPr>
            </w:pPr>
            <w:r>
              <w:rPr>
                <w:rFonts w:hint="eastAsia"/>
                <w:szCs w:val="21"/>
              </w:rPr>
              <w:t>课程成绩得分为总成绩的平均分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9" w:type="dxa"/>
            <w:vMerge w:val="restart"/>
            <w:vAlign w:val="center"/>
          </w:tcPr>
          <w:p>
            <w:pPr>
              <w:spacing w:line="440" w:lineRule="exact"/>
              <w:jc w:val="center"/>
              <w:rPr>
                <w:b/>
                <w:bCs/>
                <w:szCs w:val="21"/>
              </w:rPr>
            </w:pPr>
            <w:r>
              <w:rPr>
                <w:rFonts w:hint="eastAsia"/>
                <w:b/>
                <w:bCs/>
                <w:szCs w:val="21"/>
              </w:rPr>
              <w:t>学习</w:t>
            </w:r>
          </w:p>
          <w:p>
            <w:pPr>
              <w:spacing w:line="440" w:lineRule="exact"/>
              <w:jc w:val="center"/>
              <w:rPr>
                <w:b/>
                <w:bCs/>
                <w:szCs w:val="21"/>
              </w:rPr>
            </w:pPr>
            <w:r>
              <w:rPr>
                <w:rFonts w:hint="eastAsia"/>
                <w:b/>
                <w:bCs/>
                <w:szCs w:val="21"/>
              </w:rPr>
              <w:t>能力</w:t>
            </w:r>
          </w:p>
          <w:p>
            <w:pPr>
              <w:spacing w:line="440" w:lineRule="exact"/>
              <w:jc w:val="center"/>
              <w:rPr>
                <w:b/>
                <w:bCs/>
                <w:szCs w:val="21"/>
              </w:rPr>
            </w:pPr>
            <w:r>
              <w:rPr>
                <w:rFonts w:hint="eastAsia"/>
                <w:b/>
                <w:bCs/>
                <w:szCs w:val="21"/>
              </w:rPr>
              <w:t>（6分）</w:t>
            </w:r>
          </w:p>
        </w:tc>
        <w:tc>
          <w:tcPr>
            <w:tcW w:w="1321" w:type="dxa"/>
            <w:vAlign w:val="center"/>
          </w:tcPr>
          <w:p>
            <w:pPr>
              <w:spacing w:line="440" w:lineRule="exact"/>
              <w:jc w:val="center"/>
              <w:rPr>
                <w:rFonts w:ascii="宋体" w:hAnsi="宋体"/>
                <w:kern w:val="0"/>
                <w:szCs w:val="21"/>
              </w:rPr>
            </w:pPr>
            <w:r>
              <w:rPr>
                <w:rFonts w:hint="eastAsia"/>
                <w:szCs w:val="21"/>
              </w:rPr>
              <w:t>学科竞赛</w:t>
            </w:r>
          </w:p>
        </w:tc>
        <w:tc>
          <w:tcPr>
            <w:tcW w:w="2165" w:type="dxa"/>
            <w:gridSpan w:val="2"/>
            <w:vAlign w:val="center"/>
          </w:tcPr>
          <w:p>
            <w:pPr>
              <w:spacing w:line="440" w:lineRule="exact"/>
              <w:jc w:val="center"/>
              <w:rPr>
                <w:rFonts w:ascii="宋体" w:hAnsi="宋体"/>
                <w:kern w:val="0"/>
                <w:szCs w:val="21"/>
              </w:rPr>
            </w:pPr>
            <w:r>
              <w:rPr>
                <w:rFonts w:hint="eastAsia"/>
                <w:szCs w:val="21"/>
              </w:rPr>
              <w:t>一、二、三等奖分别加3、2、1分</w:t>
            </w:r>
          </w:p>
        </w:tc>
        <w:tc>
          <w:tcPr>
            <w:tcW w:w="1814" w:type="dxa"/>
            <w:vAlign w:val="center"/>
          </w:tcPr>
          <w:p>
            <w:pPr>
              <w:spacing w:line="440" w:lineRule="exact"/>
              <w:jc w:val="center"/>
              <w:rPr>
                <w:rFonts w:ascii="宋体" w:hAnsi="宋体"/>
                <w:kern w:val="0"/>
                <w:szCs w:val="21"/>
              </w:rPr>
            </w:pPr>
            <w:r>
              <w:rPr>
                <w:rFonts w:hint="eastAsia"/>
                <w:szCs w:val="21"/>
              </w:rPr>
              <w:t>一、二、三等奖分别加2、1、0.5分</w:t>
            </w:r>
          </w:p>
        </w:tc>
        <w:tc>
          <w:tcPr>
            <w:tcW w:w="2084" w:type="dxa"/>
            <w:gridSpan w:val="2"/>
            <w:vAlign w:val="center"/>
          </w:tcPr>
          <w:p>
            <w:pPr>
              <w:spacing w:line="440" w:lineRule="exact"/>
              <w:jc w:val="center"/>
              <w:rPr>
                <w:szCs w:val="21"/>
              </w:rPr>
            </w:pPr>
            <w:r>
              <w:rPr>
                <w:rFonts w:hint="eastAsia"/>
                <w:szCs w:val="21"/>
              </w:rPr>
              <w:t>一、二、三等奖分别加1、0.5、0.4分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9" w:type="dxa"/>
            <w:vMerge w:val="continue"/>
            <w:vAlign w:val="center"/>
          </w:tcPr>
          <w:p>
            <w:pPr>
              <w:spacing w:line="440" w:lineRule="exact"/>
              <w:jc w:val="center"/>
              <w:rPr>
                <w:szCs w:val="21"/>
              </w:rPr>
            </w:pPr>
          </w:p>
        </w:tc>
        <w:tc>
          <w:tcPr>
            <w:tcW w:w="1321" w:type="dxa"/>
            <w:vAlign w:val="center"/>
          </w:tcPr>
          <w:p>
            <w:pPr>
              <w:spacing w:line="440" w:lineRule="exact"/>
              <w:jc w:val="center"/>
              <w:rPr>
                <w:rFonts w:ascii="宋体" w:hAnsi="宋体"/>
                <w:kern w:val="0"/>
                <w:szCs w:val="21"/>
              </w:rPr>
            </w:pPr>
            <w:r>
              <w:rPr>
                <w:rFonts w:hint="eastAsia"/>
                <w:szCs w:val="21"/>
              </w:rPr>
              <w:t>技能竞赛</w:t>
            </w:r>
          </w:p>
        </w:tc>
        <w:tc>
          <w:tcPr>
            <w:tcW w:w="2165" w:type="dxa"/>
            <w:gridSpan w:val="2"/>
            <w:vAlign w:val="center"/>
          </w:tcPr>
          <w:p>
            <w:pPr>
              <w:spacing w:line="440" w:lineRule="exact"/>
              <w:jc w:val="center"/>
              <w:rPr>
                <w:rFonts w:ascii="宋体" w:hAnsi="宋体"/>
                <w:kern w:val="0"/>
                <w:szCs w:val="21"/>
              </w:rPr>
            </w:pPr>
            <w:r>
              <w:rPr>
                <w:rFonts w:hint="eastAsia"/>
                <w:szCs w:val="21"/>
              </w:rPr>
              <w:t>一、二、三等奖分别加3、2、1分</w:t>
            </w:r>
          </w:p>
        </w:tc>
        <w:tc>
          <w:tcPr>
            <w:tcW w:w="1814" w:type="dxa"/>
            <w:vAlign w:val="center"/>
          </w:tcPr>
          <w:p>
            <w:pPr>
              <w:spacing w:line="440" w:lineRule="exact"/>
              <w:jc w:val="center"/>
              <w:rPr>
                <w:rFonts w:ascii="宋体" w:hAnsi="宋体"/>
                <w:kern w:val="0"/>
                <w:szCs w:val="21"/>
              </w:rPr>
            </w:pPr>
            <w:r>
              <w:rPr>
                <w:rFonts w:hint="eastAsia"/>
                <w:szCs w:val="21"/>
              </w:rPr>
              <w:t>一、二、三等奖分别加2、1、0.5分</w:t>
            </w:r>
          </w:p>
        </w:tc>
        <w:tc>
          <w:tcPr>
            <w:tcW w:w="2084" w:type="dxa"/>
            <w:gridSpan w:val="2"/>
            <w:vAlign w:val="center"/>
          </w:tcPr>
          <w:p>
            <w:pPr>
              <w:spacing w:line="440" w:lineRule="exact"/>
              <w:jc w:val="center"/>
              <w:rPr>
                <w:szCs w:val="21"/>
              </w:rPr>
            </w:pPr>
            <w:r>
              <w:rPr>
                <w:rFonts w:hint="eastAsia"/>
                <w:szCs w:val="21"/>
              </w:rPr>
              <w:t>一、二、三等奖分别加1、0.5、0.4分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9" w:type="dxa"/>
            <w:vMerge w:val="continue"/>
            <w:vAlign w:val="center"/>
          </w:tcPr>
          <w:p>
            <w:pPr>
              <w:spacing w:line="440" w:lineRule="exact"/>
              <w:jc w:val="center"/>
              <w:rPr>
                <w:szCs w:val="21"/>
              </w:rPr>
            </w:pPr>
          </w:p>
        </w:tc>
        <w:tc>
          <w:tcPr>
            <w:tcW w:w="1321" w:type="dxa"/>
            <w:vAlign w:val="center"/>
          </w:tcPr>
          <w:p>
            <w:pPr>
              <w:spacing w:line="440" w:lineRule="exact"/>
              <w:jc w:val="center"/>
              <w:rPr>
                <w:szCs w:val="21"/>
              </w:rPr>
            </w:pPr>
            <w:r>
              <w:rPr>
                <w:rFonts w:hint="eastAsia"/>
                <w:szCs w:val="21"/>
              </w:rPr>
              <w:t>全国大学</w:t>
            </w:r>
          </w:p>
          <w:p>
            <w:pPr>
              <w:spacing w:line="440" w:lineRule="exact"/>
              <w:jc w:val="center"/>
              <w:rPr>
                <w:rFonts w:ascii="宋体" w:hAnsi="宋体"/>
                <w:kern w:val="0"/>
                <w:szCs w:val="21"/>
              </w:rPr>
            </w:pPr>
            <w:r>
              <w:rPr>
                <w:rFonts w:hint="eastAsia"/>
                <w:szCs w:val="21"/>
              </w:rPr>
              <w:t>英语四级</w:t>
            </w:r>
          </w:p>
        </w:tc>
        <w:tc>
          <w:tcPr>
            <w:tcW w:w="6063" w:type="dxa"/>
            <w:gridSpan w:val="5"/>
            <w:vAlign w:val="center"/>
          </w:tcPr>
          <w:p>
            <w:pPr>
              <w:spacing w:line="440" w:lineRule="exact"/>
              <w:rPr>
                <w:szCs w:val="21"/>
              </w:rPr>
            </w:pPr>
            <w:r>
              <w:rPr>
                <w:rFonts w:hint="eastAsia"/>
                <w:szCs w:val="21"/>
              </w:rPr>
              <w:t>成绩优秀者（四级成绩大于等于500分）加3分，成绩合格者2分。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Merge w:val="continue"/>
            <w:vAlign w:val="center"/>
          </w:tcPr>
          <w:p>
            <w:pPr>
              <w:spacing w:line="440" w:lineRule="exact"/>
              <w:jc w:val="center"/>
              <w:rPr>
                <w:szCs w:val="21"/>
              </w:rPr>
            </w:pPr>
          </w:p>
        </w:tc>
        <w:tc>
          <w:tcPr>
            <w:tcW w:w="1321" w:type="dxa"/>
            <w:vAlign w:val="center"/>
          </w:tcPr>
          <w:p>
            <w:pPr>
              <w:spacing w:line="440" w:lineRule="exact"/>
              <w:jc w:val="center"/>
              <w:rPr>
                <w:szCs w:val="21"/>
              </w:rPr>
            </w:pPr>
            <w:r>
              <w:rPr>
                <w:rFonts w:hint="eastAsia"/>
                <w:szCs w:val="21"/>
              </w:rPr>
              <w:t>全国计算机等级考试</w:t>
            </w:r>
          </w:p>
        </w:tc>
        <w:tc>
          <w:tcPr>
            <w:tcW w:w="6063" w:type="dxa"/>
            <w:gridSpan w:val="5"/>
            <w:vAlign w:val="center"/>
          </w:tcPr>
          <w:p>
            <w:pPr>
              <w:spacing w:line="440" w:lineRule="exact"/>
              <w:jc w:val="center"/>
              <w:rPr>
                <w:szCs w:val="21"/>
              </w:rPr>
            </w:pPr>
            <w:r>
              <w:rPr>
                <w:rFonts w:hint="eastAsia"/>
                <w:szCs w:val="21"/>
              </w:rPr>
              <w:t>获二级证书者加3分，获三级证书者加2分（以证书为准）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Merge w:val="continue"/>
            <w:vAlign w:val="center"/>
          </w:tcPr>
          <w:p>
            <w:pPr>
              <w:spacing w:line="440" w:lineRule="exact"/>
              <w:jc w:val="center"/>
              <w:rPr>
                <w:szCs w:val="21"/>
              </w:rPr>
            </w:pPr>
          </w:p>
        </w:tc>
        <w:tc>
          <w:tcPr>
            <w:tcW w:w="1321" w:type="dxa"/>
            <w:vAlign w:val="center"/>
          </w:tcPr>
          <w:p>
            <w:pPr>
              <w:spacing w:line="440" w:lineRule="exact"/>
              <w:jc w:val="center"/>
              <w:rPr>
                <w:szCs w:val="21"/>
              </w:rPr>
            </w:pPr>
            <w:r>
              <w:rPr>
                <w:rFonts w:hint="eastAsia"/>
                <w:szCs w:val="21"/>
              </w:rPr>
              <w:t>普通话</w:t>
            </w:r>
          </w:p>
          <w:p>
            <w:pPr>
              <w:spacing w:line="440" w:lineRule="exact"/>
              <w:jc w:val="center"/>
              <w:rPr>
                <w:szCs w:val="21"/>
              </w:rPr>
            </w:pPr>
            <w:r>
              <w:rPr>
                <w:rFonts w:hint="eastAsia"/>
                <w:szCs w:val="21"/>
              </w:rPr>
              <w:t>水平测试</w:t>
            </w:r>
          </w:p>
        </w:tc>
        <w:tc>
          <w:tcPr>
            <w:tcW w:w="6063" w:type="dxa"/>
            <w:gridSpan w:val="5"/>
            <w:vAlign w:val="center"/>
          </w:tcPr>
          <w:p>
            <w:pPr>
              <w:spacing w:line="480" w:lineRule="exact"/>
              <w:jc w:val="center"/>
              <w:rPr>
                <w:szCs w:val="21"/>
              </w:rPr>
            </w:pPr>
            <w:r>
              <w:rPr>
                <w:rFonts w:hint="eastAsia"/>
                <w:szCs w:val="21"/>
              </w:rPr>
              <w:t>获一级乙等以上证书加2分，获二级甲等、二级乙等加1分。</w:t>
            </w:r>
          </w:p>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Merge w:val="continue"/>
            <w:vAlign w:val="center"/>
          </w:tcPr>
          <w:p>
            <w:pPr>
              <w:spacing w:line="440" w:lineRule="exact"/>
              <w:jc w:val="left"/>
              <w:rPr>
                <w:szCs w:val="21"/>
              </w:rPr>
            </w:pPr>
          </w:p>
        </w:tc>
        <w:tc>
          <w:tcPr>
            <w:tcW w:w="1321" w:type="dxa"/>
            <w:vAlign w:val="center"/>
          </w:tcPr>
          <w:p>
            <w:pPr>
              <w:spacing w:line="440" w:lineRule="exact"/>
              <w:jc w:val="center"/>
              <w:rPr>
                <w:szCs w:val="21"/>
              </w:rPr>
            </w:pPr>
            <w:r>
              <w:rPr>
                <w:rFonts w:hint="eastAsia"/>
                <w:szCs w:val="21"/>
              </w:rPr>
              <w:t>“1+X”证书</w:t>
            </w:r>
          </w:p>
        </w:tc>
        <w:tc>
          <w:tcPr>
            <w:tcW w:w="6063" w:type="dxa"/>
            <w:gridSpan w:val="5"/>
            <w:vAlign w:val="center"/>
          </w:tcPr>
          <w:p>
            <w:pPr>
              <w:spacing w:line="440" w:lineRule="exact"/>
              <w:jc w:val="left"/>
              <w:rPr>
                <w:szCs w:val="21"/>
              </w:rPr>
            </w:pPr>
            <w:r>
              <w:rPr>
                <w:rFonts w:hint="eastAsia"/>
                <w:szCs w:val="21"/>
              </w:rPr>
              <w:t>通过“1+X”类证书或其他相关职业类证书加1分，累计不超过2分。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Merge w:val="continue"/>
            <w:vAlign w:val="center"/>
          </w:tcPr>
          <w:p>
            <w:pPr>
              <w:spacing w:line="440" w:lineRule="exact"/>
              <w:jc w:val="center"/>
              <w:rPr>
                <w:szCs w:val="21"/>
              </w:rPr>
            </w:pPr>
          </w:p>
        </w:tc>
        <w:tc>
          <w:tcPr>
            <w:tcW w:w="1321" w:type="dxa"/>
            <w:vAlign w:val="center"/>
          </w:tcPr>
          <w:p>
            <w:pPr>
              <w:spacing w:line="440" w:lineRule="exact"/>
              <w:jc w:val="center"/>
              <w:rPr>
                <w:szCs w:val="21"/>
              </w:rPr>
            </w:pPr>
            <w:r>
              <w:rPr>
                <w:rFonts w:hint="eastAsia"/>
                <w:szCs w:val="21"/>
              </w:rPr>
              <w:t>社会实践</w:t>
            </w:r>
          </w:p>
          <w:p>
            <w:pPr>
              <w:spacing w:line="440" w:lineRule="exact"/>
              <w:jc w:val="center"/>
              <w:rPr>
                <w:szCs w:val="21"/>
              </w:rPr>
            </w:pPr>
            <w:r>
              <w:rPr>
                <w:rFonts w:hint="eastAsia"/>
                <w:szCs w:val="21"/>
              </w:rPr>
              <w:t>论文</w:t>
            </w:r>
          </w:p>
        </w:tc>
        <w:tc>
          <w:tcPr>
            <w:tcW w:w="6063" w:type="dxa"/>
            <w:gridSpan w:val="5"/>
            <w:vAlign w:val="center"/>
          </w:tcPr>
          <w:p>
            <w:pPr>
              <w:spacing w:line="440" w:lineRule="exact"/>
              <w:jc w:val="center"/>
              <w:rPr>
                <w:szCs w:val="21"/>
              </w:rPr>
            </w:pPr>
            <w:r>
              <w:rPr>
                <w:rFonts w:hint="eastAsia"/>
                <w:szCs w:val="21"/>
              </w:rPr>
              <w:t>一、二、三等分别加1分/篇、0.5分/篇、0.4分/篇</w:t>
            </w:r>
          </w:p>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Merge w:val="continue"/>
            <w:vAlign w:val="center"/>
          </w:tcPr>
          <w:p>
            <w:pPr>
              <w:spacing w:line="440" w:lineRule="exact"/>
              <w:jc w:val="center"/>
              <w:rPr>
                <w:szCs w:val="21"/>
              </w:rPr>
            </w:pPr>
          </w:p>
        </w:tc>
        <w:tc>
          <w:tcPr>
            <w:tcW w:w="1321" w:type="dxa"/>
            <w:vAlign w:val="center"/>
          </w:tcPr>
          <w:p>
            <w:pPr>
              <w:spacing w:line="440" w:lineRule="exact"/>
              <w:jc w:val="center"/>
              <w:rPr>
                <w:szCs w:val="21"/>
              </w:rPr>
            </w:pPr>
            <w:r>
              <w:rPr>
                <w:rFonts w:hint="eastAsia"/>
                <w:szCs w:val="21"/>
              </w:rPr>
              <w:t>网站发表</w:t>
            </w:r>
          </w:p>
          <w:p>
            <w:pPr>
              <w:spacing w:line="440" w:lineRule="exact"/>
              <w:jc w:val="center"/>
              <w:rPr>
                <w:szCs w:val="21"/>
              </w:rPr>
            </w:pPr>
            <w:r>
              <w:rPr>
                <w:rFonts w:hint="eastAsia"/>
                <w:szCs w:val="21"/>
              </w:rPr>
              <w:t>文章图片</w:t>
            </w:r>
          </w:p>
        </w:tc>
        <w:tc>
          <w:tcPr>
            <w:tcW w:w="6063" w:type="dxa"/>
            <w:gridSpan w:val="5"/>
            <w:vAlign w:val="center"/>
          </w:tcPr>
          <w:p>
            <w:pPr>
              <w:spacing w:line="440" w:lineRule="exact"/>
              <w:jc w:val="left"/>
              <w:rPr>
                <w:szCs w:val="21"/>
              </w:rPr>
            </w:pPr>
            <w:r>
              <w:rPr>
                <w:rFonts w:hint="eastAsia"/>
                <w:szCs w:val="21"/>
              </w:rPr>
              <w:t>在院刊、院网站、院微信平台或易班中心发表文章0.5分/篇，在系网站、系微信平台发表文章0.2分/篇，累计不超过2分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Merge w:val="continue"/>
            <w:vAlign w:val="center"/>
          </w:tcPr>
          <w:p>
            <w:pPr>
              <w:spacing w:line="440" w:lineRule="exact"/>
              <w:jc w:val="center"/>
              <w:rPr>
                <w:b/>
                <w:bCs/>
                <w:szCs w:val="21"/>
              </w:rPr>
            </w:pPr>
          </w:p>
        </w:tc>
        <w:tc>
          <w:tcPr>
            <w:tcW w:w="1321" w:type="dxa"/>
            <w:vAlign w:val="center"/>
          </w:tcPr>
          <w:p>
            <w:pPr>
              <w:spacing w:line="440" w:lineRule="exact"/>
              <w:jc w:val="center"/>
              <w:rPr>
                <w:szCs w:val="21"/>
              </w:rPr>
            </w:pPr>
            <w:r>
              <w:rPr>
                <w:rFonts w:hint="eastAsia"/>
                <w:szCs w:val="21"/>
              </w:rPr>
              <w:t>科技发明</w:t>
            </w:r>
          </w:p>
          <w:p>
            <w:pPr>
              <w:spacing w:line="440" w:lineRule="exact"/>
              <w:jc w:val="center"/>
              <w:rPr>
                <w:szCs w:val="21"/>
              </w:rPr>
            </w:pPr>
            <w:r>
              <w:rPr>
                <w:rFonts w:hint="eastAsia"/>
                <w:szCs w:val="21"/>
              </w:rPr>
              <w:t>活动</w:t>
            </w:r>
          </w:p>
        </w:tc>
        <w:tc>
          <w:tcPr>
            <w:tcW w:w="2020" w:type="dxa"/>
            <w:vAlign w:val="center"/>
          </w:tcPr>
          <w:p>
            <w:pPr>
              <w:spacing w:line="440" w:lineRule="exact"/>
              <w:jc w:val="center"/>
              <w:rPr>
                <w:szCs w:val="21"/>
              </w:rPr>
            </w:pPr>
            <w:r>
              <w:rPr>
                <w:rFonts w:hint="eastAsia"/>
                <w:szCs w:val="21"/>
              </w:rPr>
              <w:t>一、二、三等奖分别加3、2、1分</w:t>
            </w:r>
          </w:p>
        </w:tc>
        <w:tc>
          <w:tcPr>
            <w:tcW w:w="2020" w:type="dxa"/>
            <w:gridSpan w:val="3"/>
            <w:vAlign w:val="center"/>
          </w:tcPr>
          <w:p>
            <w:pPr>
              <w:spacing w:line="440" w:lineRule="exact"/>
              <w:jc w:val="center"/>
              <w:rPr>
                <w:szCs w:val="21"/>
              </w:rPr>
            </w:pPr>
            <w:r>
              <w:rPr>
                <w:rFonts w:hint="eastAsia"/>
                <w:szCs w:val="21"/>
              </w:rPr>
              <w:t>一、二、三等奖分别加2、1、0.5分</w:t>
            </w:r>
          </w:p>
        </w:tc>
        <w:tc>
          <w:tcPr>
            <w:tcW w:w="2022" w:type="dxa"/>
            <w:vAlign w:val="center"/>
          </w:tcPr>
          <w:p>
            <w:pPr>
              <w:spacing w:line="440" w:lineRule="exact"/>
              <w:jc w:val="center"/>
              <w:rPr>
                <w:szCs w:val="21"/>
              </w:rPr>
            </w:pPr>
            <w:r>
              <w:rPr>
                <w:rFonts w:hint="eastAsia"/>
                <w:szCs w:val="21"/>
              </w:rPr>
              <w:t>一、二、三等奖分别加1、0.5、0.4分</w:t>
            </w:r>
          </w:p>
        </w:tc>
      </w:tr>
    </w:tbl>
    <w:p/>
    <w:p/>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sectPr>
          <w:pgSz w:w="11906" w:h="16838"/>
          <w:pgMar w:top="1440" w:right="1800" w:bottom="1440" w:left="1800" w:header="851" w:footer="992" w:gutter="0"/>
          <w:pgNumType w:fmt="numberInDash"/>
          <w:cols w:space="720" w:num="1"/>
          <w:docGrid w:type="lines" w:linePitch="312" w:charSpace="0"/>
        </w:sectPr>
      </w:pPr>
    </w:p>
    <w:p>
      <w:pPr>
        <w:spacing w:line="440" w:lineRule="exact"/>
        <w:rPr>
          <w:rFonts w:ascii="宋体" w:hAnsi="宋体"/>
          <w:b/>
          <w:sz w:val="24"/>
        </w:rPr>
      </w:pPr>
      <w:r>
        <w:rPr>
          <w:rFonts w:hint="eastAsia" w:ascii="宋体" w:hAnsi="宋体"/>
          <w:b/>
          <w:sz w:val="24"/>
        </w:rPr>
        <w:t>附件3</w:t>
      </w:r>
    </w:p>
    <w:p>
      <w:pPr>
        <w:spacing w:line="440" w:lineRule="exact"/>
        <w:jc w:val="center"/>
        <w:rPr>
          <w:b/>
          <w:sz w:val="30"/>
          <w:szCs w:val="30"/>
        </w:rPr>
      </w:pPr>
      <w:r>
        <w:rPr>
          <w:rFonts w:hint="eastAsia" w:ascii="黑体" w:eastAsia="黑体"/>
          <w:b/>
          <w:sz w:val="32"/>
          <w:szCs w:val="32"/>
        </w:rPr>
        <w:t>承德应用技术职业学院学生综合素质测评智育评分表</w:t>
      </w:r>
    </w:p>
    <w:p>
      <w:pPr>
        <w:spacing w:line="440" w:lineRule="exact"/>
        <w:ind w:firstLine="1920" w:firstLineChars="800"/>
        <w:rPr>
          <w:sz w:val="24"/>
        </w:rPr>
      </w:pPr>
      <w:r>
        <w:rPr>
          <w:rFonts w:hint="eastAsia"/>
          <w:sz w:val="24"/>
        </w:rPr>
        <w:t>班级：学号：姓名：</w:t>
      </w:r>
    </w:p>
    <w:tbl>
      <w:tblPr>
        <w:tblStyle w:val="6"/>
        <w:tblW w:w="865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000"/>
        <w:gridCol w:w="2772"/>
        <w:gridCol w:w="1194"/>
        <w:gridCol w:w="1014"/>
        <w:gridCol w:w="481"/>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711" w:type="dxa"/>
            <w:vAlign w:val="center"/>
          </w:tcPr>
          <w:p>
            <w:pPr>
              <w:spacing w:line="440" w:lineRule="exact"/>
              <w:jc w:val="center"/>
              <w:rPr>
                <w:b/>
              </w:rPr>
            </w:pPr>
            <w:r>
              <w:rPr>
                <w:rFonts w:hint="eastAsia"/>
                <w:b/>
              </w:rPr>
              <w:t>课程成绩</w:t>
            </w:r>
          </w:p>
        </w:tc>
        <w:tc>
          <w:tcPr>
            <w:tcW w:w="1000" w:type="dxa"/>
            <w:vAlign w:val="center"/>
          </w:tcPr>
          <w:p>
            <w:pPr>
              <w:spacing w:line="440" w:lineRule="exact"/>
              <w:jc w:val="center"/>
            </w:pPr>
            <w:r>
              <w:rPr>
                <w:rFonts w:hint="eastAsia"/>
              </w:rPr>
              <w:t>平均分</w:t>
            </w:r>
          </w:p>
        </w:tc>
        <w:tc>
          <w:tcPr>
            <w:tcW w:w="4979" w:type="dxa"/>
            <w:gridSpan w:val="3"/>
            <w:vAlign w:val="center"/>
          </w:tcPr>
          <w:p>
            <w:pPr>
              <w:spacing w:line="440" w:lineRule="exact"/>
              <w:jc w:val="center"/>
            </w:pPr>
          </w:p>
        </w:tc>
        <w:tc>
          <w:tcPr>
            <w:tcW w:w="481" w:type="dxa"/>
            <w:vAlign w:val="center"/>
          </w:tcPr>
          <w:p>
            <w:pPr>
              <w:spacing w:line="440" w:lineRule="exact"/>
              <w:jc w:val="center"/>
            </w:pPr>
          </w:p>
        </w:tc>
        <w:tc>
          <w:tcPr>
            <w:tcW w:w="481" w:type="dxa"/>
            <w:vMerge w:val="restart"/>
            <w:vAlign w:val="center"/>
          </w:tcPr>
          <w:p>
            <w:pPr>
              <w:spacing w:line="440" w:lineRule="exact"/>
              <w:jc w:val="center"/>
            </w:pPr>
            <w:r>
              <w:rPr>
                <w:rFonts w:hint="eastAsia"/>
              </w:rPr>
              <w:t>合</w:t>
            </w:r>
          </w:p>
          <w:p>
            <w:pPr>
              <w:spacing w:line="440" w:lineRule="exact"/>
              <w:jc w:val="center"/>
            </w:pPr>
          </w:p>
          <w:p>
            <w:pPr>
              <w:spacing w:line="440" w:lineRule="exact"/>
              <w:jc w:val="center"/>
            </w:pPr>
          </w:p>
          <w:p>
            <w:pPr>
              <w:spacing w:line="440" w:lineRule="exact"/>
              <w:jc w:val="center"/>
            </w:pPr>
            <w:r>
              <w:rPr>
                <w:rFonts w:hint="eastAsia"/>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1" w:type="dxa"/>
            <w:vMerge w:val="restart"/>
            <w:vAlign w:val="center"/>
          </w:tcPr>
          <w:p>
            <w:pPr>
              <w:spacing w:line="440" w:lineRule="exact"/>
              <w:ind w:left="113" w:right="113"/>
              <w:jc w:val="center"/>
              <w:rPr>
                <w:b/>
                <w:szCs w:val="22"/>
              </w:rPr>
            </w:pPr>
            <w:r>
              <w:rPr>
                <w:rFonts w:hint="eastAsia"/>
                <w:b/>
                <w:szCs w:val="22"/>
              </w:rPr>
              <w:t>学习能力</w:t>
            </w:r>
          </w:p>
          <w:p>
            <w:pPr>
              <w:spacing w:line="440" w:lineRule="exact"/>
              <w:ind w:left="113" w:right="113"/>
              <w:jc w:val="center"/>
              <w:rPr>
                <w:b/>
                <w:szCs w:val="22"/>
              </w:rPr>
            </w:pPr>
            <w:r>
              <w:rPr>
                <w:rFonts w:hint="eastAsia"/>
                <w:b/>
                <w:szCs w:val="22"/>
              </w:rPr>
              <w:t>（满分6分）</w:t>
            </w: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restart"/>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11" w:type="dxa"/>
            <w:vMerge w:val="continue"/>
            <w:vAlign w:val="center"/>
          </w:tcPr>
          <w:p>
            <w:pPr>
              <w:spacing w:line="440" w:lineRule="exact"/>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11" w:type="dxa"/>
            <w:vMerge w:val="continue"/>
            <w:vAlign w:val="center"/>
          </w:tcPr>
          <w:p>
            <w:pPr>
              <w:spacing w:line="440" w:lineRule="exact"/>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textDirection w:val="tbRlV"/>
            <w:vAlign w:val="center"/>
          </w:tcPr>
          <w:p>
            <w:pPr>
              <w:spacing w:line="440" w:lineRule="exact"/>
              <w:ind w:left="113" w:right="113"/>
              <w:jc w:val="center"/>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restart"/>
            <w:vAlign w:val="center"/>
          </w:tcPr>
          <w:p>
            <w:pPr>
              <w:spacing w:line="440" w:lineRule="exact"/>
              <w:jc w:val="center"/>
              <w:rPr>
                <w:b/>
                <w:szCs w:val="22"/>
              </w:rPr>
            </w:pPr>
            <w:r>
              <w:rPr>
                <w:rFonts w:hint="eastAsia"/>
                <w:b/>
                <w:szCs w:val="22"/>
              </w:rPr>
              <w:t>科技创新</w:t>
            </w:r>
          </w:p>
          <w:p>
            <w:pPr>
              <w:spacing w:line="440" w:lineRule="exact"/>
              <w:jc w:val="center"/>
              <w:rPr>
                <w:b/>
                <w:szCs w:val="22"/>
              </w:rPr>
            </w:pPr>
            <w:r>
              <w:rPr>
                <w:rFonts w:hint="eastAsia"/>
                <w:b/>
                <w:szCs w:val="22"/>
              </w:rPr>
              <w:t>能力</w:t>
            </w:r>
          </w:p>
          <w:p>
            <w:pPr>
              <w:spacing w:line="440" w:lineRule="exact"/>
              <w:jc w:val="center"/>
            </w:pPr>
            <w:r>
              <w:rPr>
                <w:rFonts w:hint="eastAsia"/>
                <w:b/>
                <w:szCs w:val="22"/>
              </w:rPr>
              <w:t>（满分4分）</w:t>
            </w: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11" w:type="dxa"/>
            <w:vMerge w:val="continue"/>
            <w:vAlign w:val="center"/>
          </w:tcPr>
          <w:p>
            <w:pPr>
              <w:spacing w:line="440" w:lineRule="exact"/>
            </w:pPr>
          </w:p>
        </w:tc>
        <w:tc>
          <w:tcPr>
            <w:tcW w:w="1000" w:type="dxa"/>
            <w:vAlign w:val="center"/>
          </w:tcPr>
          <w:p>
            <w:pPr>
              <w:spacing w:line="440" w:lineRule="exact"/>
              <w:jc w:val="center"/>
            </w:pPr>
            <w:r>
              <w:rPr>
                <w:rFonts w:hint="eastAsia"/>
              </w:rPr>
              <w:t>项目</w:t>
            </w:r>
          </w:p>
        </w:tc>
        <w:tc>
          <w:tcPr>
            <w:tcW w:w="2772" w:type="dxa"/>
            <w:vAlign w:val="center"/>
          </w:tcPr>
          <w:p>
            <w:pPr>
              <w:spacing w:line="440" w:lineRule="exact"/>
              <w:jc w:val="center"/>
            </w:pPr>
          </w:p>
        </w:tc>
        <w:tc>
          <w:tcPr>
            <w:tcW w:w="1194" w:type="dxa"/>
            <w:vAlign w:val="center"/>
          </w:tcPr>
          <w:p>
            <w:pPr>
              <w:spacing w:line="440" w:lineRule="exact"/>
              <w:jc w:val="center"/>
            </w:pPr>
            <w:r>
              <w:rPr>
                <w:rFonts w:hint="eastAsia"/>
              </w:rPr>
              <w:t>分数</w:t>
            </w:r>
          </w:p>
        </w:tc>
        <w:tc>
          <w:tcPr>
            <w:tcW w:w="1014" w:type="dxa"/>
            <w:vAlign w:val="center"/>
          </w:tcPr>
          <w:p>
            <w:pPr>
              <w:spacing w:line="440" w:lineRule="exact"/>
              <w:jc w:val="center"/>
            </w:pPr>
          </w:p>
        </w:tc>
        <w:tc>
          <w:tcPr>
            <w:tcW w:w="481" w:type="dxa"/>
            <w:vMerge w:val="continue"/>
            <w:vAlign w:val="center"/>
          </w:tcPr>
          <w:p>
            <w:pPr>
              <w:spacing w:line="440" w:lineRule="exact"/>
              <w:jc w:val="center"/>
            </w:pPr>
          </w:p>
        </w:tc>
        <w:tc>
          <w:tcPr>
            <w:tcW w:w="481" w:type="dxa"/>
            <w:vMerge w:val="continue"/>
            <w:vAlign w:val="center"/>
          </w:tcPr>
          <w:p>
            <w:pPr>
              <w:spacing w:line="440" w:lineRule="exact"/>
              <w:jc w:val="center"/>
            </w:pPr>
          </w:p>
        </w:tc>
      </w:tr>
    </w:tbl>
    <w:p>
      <w:pPr>
        <w:spacing w:line="440" w:lineRule="exact"/>
      </w:pPr>
    </w:p>
    <w:p>
      <w:pPr>
        <w:spacing w:line="440" w:lineRule="exact"/>
      </w:pPr>
    </w:p>
    <w:p>
      <w:pPr>
        <w:spacing w:line="440" w:lineRule="exact"/>
        <w:sectPr>
          <w:pgSz w:w="11906" w:h="16838"/>
          <w:pgMar w:top="1440" w:right="1800" w:bottom="1440" w:left="1800" w:header="851" w:footer="992" w:gutter="0"/>
          <w:pgNumType w:fmt="numberInDash"/>
          <w:cols w:space="720" w:num="1"/>
          <w:docGrid w:type="lines" w:linePitch="312" w:charSpace="0"/>
        </w:sectPr>
      </w:pPr>
    </w:p>
    <w:p>
      <w:pPr>
        <w:spacing w:after="156" w:afterLines="50" w:line="440" w:lineRule="exact"/>
      </w:pPr>
      <w:r>
        <w:rPr>
          <w:rFonts w:hint="eastAsia" w:ascii="宋体" w:hAnsi="宋体"/>
          <w:b/>
          <w:sz w:val="24"/>
        </w:rPr>
        <w:t>附件4</w:t>
      </w:r>
    </w:p>
    <w:p>
      <w:pPr>
        <w:spacing w:after="156" w:afterLines="50" w:line="440" w:lineRule="exact"/>
        <w:jc w:val="center"/>
        <w:rPr>
          <w:rFonts w:ascii="黑体" w:eastAsia="黑体"/>
          <w:b/>
          <w:sz w:val="32"/>
          <w:szCs w:val="32"/>
        </w:rPr>
      </w:pPr>
      <w:r>
        <w:rPr>
          <w:rFonts w:hint="eastAsia" w:ascii="黑体" w:eastAsia="黑体"/>
          <w:b/>
          <w:sz w:val="32"/>
          <w:szCs w:val="32"/>
        </w:rPr>
        <w:t>承德应用技术职业学院学生综合素质测评</w:t>
      </w:r>
    </w:p>
    <w:p>
      <w:pPr>
        <w:spacing w:after="156" w:afterLines="50" w:line="440" w:lineRule="exact"/>
        <w:jc w:val="center"/>
        <w:rPr>
          <w:sz w:val="24"/>
        </w:rPr>
      </w:pPr>
      <w:r>
        <w:rPr>
          <w:rFonts w:hint="eastAsia" w:ascii="黑体" w:eastAsia="黑体"/>
          <w:b/>
          <w:sz w:val="32"/>
          <w:szCs w:val="32"/>
        </w:rPr>
        <w:t>文体（劳）评分标准</w:t>
      </w:r>
    </w:p>
    <w:tbl>
      <w:tblPr>
        <w:tblStyle w:val="6"/>
        <w:tblpPr w:leftFromText="180" w:rightFromText="180" w:vertAnchor="text" w:horzAnchor="page" w:tblpX="1904" w:tblpY="64"/>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83"/>
        <w:gridCol w:w="2267"/>
        <w:gridCol w:w="1654"/>
        <w:gridCol w:w="246"/>
        <w:gridCol w:w="321"/>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Align w:val="center"/>
          </w:tcPr>
          <w:p>
            <w:pPr>
              <w:spacing w:line="440" w:lineRule="exact"/>
              <w:jc w:val="center"/>
              <w:rPr>
                <w:szCs w:val="21"/>
              </w:rPr>
            </w:pPr>
            <w:r>
              <w:rPr>
                <w:rFonts w:hint="eastAsia"/>
                <w:szCs w:val="21"/>
              </w:rPr>
              <w:t>类别</w:t>
            </w:r>
          </w:p>
        </w:tc>
        <w:tc>
          <w:tcPr>
            <w:tcW w:w="1383" w:type="dxa"/>
            <w:vAlign w:val="center"/>
          </w:tcPr>
          <w:p>
            <w:pPr>
              <w:spacing w:line="440" w:lineRule="exact"/>
              <w:jc w:val="center"/>
              <w:rPr>
                <w:rFonts w:ascii="宋体" w:hAnsi="宋体"/>
                <w:kern w:val="0"/>
                <w:szCs w:val="21"/>
              </w:rPr>
            </w:pPr>
            <w:r>
              <w:rPr>
                <w:rFonts w:hint="eastAsia"/>
                <w:szCs w:val="21"/>
              </w:rPr>
              <w:t>项目</w:t>
            </w:r>
          </w:p>
        </w:tc>
        <w:tc>
          <w:tcPr>
            <w:tcW w:w="2267" w:type="dxa"/>
            <w:vAlign w:val="center"/>
          </w:tcPr>
          <w:p>
            <w:pPr>
              <w:spacing w:line="440" w:lineRule="exact"/>
              <w:jc w:val="center"/>
              <w:rPr>
                <w:rFonts w:ascii="宋体" w:hAnsi="宋体"/>
                <w:kern w:val="0"/>
                <w:szCs w:val="21"/>
              </w:rPr>
            </w:pPr>
            <w:r>
              <w:rPr>
                <w:rFonts w:hint="eastAsia" w:ascii="宋体" w:hAnsi="宋体"/>
                <w:kern w:val="0"/>
                <w:szCs w:val="21"/>
              </w:rPr>
              <w:t>国家级</w:t>
            </w:r>
          </w:p>
        </w:tc>
        <w:tc>
          <w:tcPr>
            <w:tcW w:w="1900" w:type="dxa"/>
            <w:gridSpan w:val="2"/>
            <w:vAlign w:val="center"/>
          </w:tcPr>
          <w:p>
            <w:pPr>
              <w:spacing w:line="440" w:lineRule="exact"/>
              <w:jc w:val="center"/>
              <w:rPr>
                <w:rFonts w:ascii="宋体" w:hAnsi="宋体"/>
                <w:kern w:val="0"/>
                <w:szCs w:val="21"/>
              </w:rPr>
            </w:pPr>
            <w:r>
              <w:rPr>
                <w:rFonts w:hint="eastAsia" w:ascii="宋体" w:hAnsi="宋体"/>
                <w:kern w:val="0"/>
                <w:szCs w:val="21"/>
              </w:rPr>
              <w:t>省部级</w:t>
            </w:r>
          </w:p>
        </w:tc>
        <w:tc>
          <w:tcPr>
            <w:tcW w:w="2180" w:type="dxa"/>
            <w:gridSpan w:val="2"/>
            <w:vAlign w:val="center"/>
          </w:tcPr>
          <w:p>
            <w:pPr>
              <w:spacing w:line="440" w:lineRule="exact"/>
              <w:jc w:val="center"/>
              <w:rPr>
                <w:szCs w:val="21"/>
              </w:rPr>
            </w:pPr>
            <w:r>
              <w:rPr>
                <w:rFonts w:hint="eastAsia" w:ascii="宋体" w:hAnsi="宋体"/>
                <w:kern w:val="0"/>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Align w:val="center"/>
          </w:tcPr>
          <w:p>
            <w:pPr>
              <w:spacing w:line="440" w:lineRule="exact"/>
              <w:jc w:val="center"/>
              <w:rPr>
                <w:b/>
                <w:bCs/>
                <w:szCs w:val="21"/>
              </w:rPr>
            </w:pPr>
            <w:r>
              <w:rPr>
                <w:rFonts w:hint="eastAsia"/>
                <w:b/>
                <w:bCs/>
                <w:szCs w:val="21"/>
              </w:rPr>
              <w:t>早操</w:t>
            </w:r>
          </w:p>
          <w:p>
            <w:pPr>
              <w:spacing w:line="440" w:lineRule="exact"/>
              <w:jc w:val="center"/>
              <w:rPr>
                <w:szCs w:val="21"/>
              </w:rPr>
            </w:pPr>
            <w:r>
              <w:rPr>
                <w:rFonts w:hint="eastAsia"/>
                <w:b/>
                <w:bCs/>
                <w:szCs w:val="21"/>
              </w:rPr>
              <w:t>成绩</w:t>
            </w:r>
          </w:p>
        </w:tc>
        <w:tc>
          <w:tcPr>
            <w:tcW w:w="1383" w:type="dxa"/>
            <w:vAlign w:val="center"/>
          </w:tcPr>
          <w:p>
            <w:pPr>
              <w:spacing w:line="440" w:lineRule="exact"/>
              <w:jc w:val="center"/>
              <w:rPr>
                <w:szCs w:val="21"/>
              </w:rPr>
            </w:pPr>
            <w:r>
              <w:rPr>
                <w:rFonts w:hint="eastAsia"/>
                <w:szCs w:val="21"/>
              </w:rPr>
              <w:t>出勤率</w:t>
            </w:r>
          </w:p>
        </w:tc>
        <w:tc>
          <w:tcPr>
            <w:tcW w:w="6347" w:type="dxa"/>
            <w:gridSpan w:val="5"/>
            <w:vAlign w:val="center"/>
          </w:tcPr>
          <w:p>
            <w:pPr>
              <w:spacing w:line="440" w:lineRule="exact"/>
              <w:jc w:val="center"/>
              <w:rPr>
                <w:szCs w:val="21"/>
              </w:rPr>
            </w:pPr>
            <w:r>
              <w:rPr>
                <w:rFonts w:hint="eastAsia"/>
                <w:szCs w:val="21"/>
              </w:rPr>
              <w:t>30分×出勤率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00" w:type="dxa"/>
            <w:vAlign w:val="center"/>
          </w:tcPr>
          <w:p>
            <w:pPr>
              <w:spacing w:line="440" w:lineRule="exact"/>
              <w:jc w:val="center"/>
              <w:rPr>
                <w:b/>
                <w:bCs/>
                <w:szCs w:val="21"/>
              </w:rPr>
            </w:pPr>
            <w:r>
              <w:rPr>
                <w:rFonts w:hint="eastAsia"/>
                <w:b/>
                <w:bCs/>
                <w:szCs w:val="21"/>
              </w:rPr>
              <w:t>身体</w:t>
            </w:r>
          </w:p>
          <w:p>
            <w:pPr>
              <w:spacing w:line="440" w:lineRule="exact"/>
              <w:jc w:val="center"/>
              <w:rPr>
                <w:b/>
                <w:bCs/>
                <w:szCs w:val="21"/>
              </w:rPr>
            </w:pPr>
            <w:r>
              <w:rPr>
                <w:rFonts w:hint="eastAsia"/>
                <w:b/>
                <w:bCs/>
                <w:szCs w:val="21"/>
              </w:rPr>
              <w:t>素质</w:t>
            </w:r>
          </w:p>
        </w:tc>
        <w:tc>
          <w:tcPr>
            <w:tcW w:w="1383" w:type="dxa"/>
            <w:vAlign w:val="center"/>
          </w:tcPr>
          <w:p>
            <w:pPr>
              <w:spacing w:line="440" w:lineRule="exact"/>
              <w:jc w:val="center"/>
              <w:rPr>
                <w:szCs w:val="21"/>
              </w:rPr>
            </w:pPr>
            <w:r>
              <w:rPr>
                <w:rFonts w:hint="eastAsia"/>
                <w:szCs w:val="21"/>
              </w:rPr>
              <w:t>通过身体</w:t>
            </w:r>
          </w:p>
          <w:p>
            <w:pPr>
              <w:spacing w:line="440" w:lineRule="exact"/>
              <w:jc w:val="center"/>
              <w:rPr>
                <w:szCs w:val="21"/>
              </w:rPr>
            </w:pPr>
            <w:r>
              <w:rPr>
                <w:rFonts w:hint="eastAsia"/>
                <w:szCs w:val="21"/>
              </w:rPr>
              <w:t>素质测试</w:t>
            </w:r>
          </w:p>
        </w:tc>
        <w:tc>
          <w:tcPr>
            <w:tcW w:w="6347" w:type="dxa"/>
            <w:gridSpan w:val="5"/>
            <w:vAlign w:val="center"/>
          </w:tcPr>
          <w:p>
            <w:pPr>
              <w:pStyle w:val="2"/>
              <w:spacing w:line="440" w:lineRule="exact"/>
              <w:ind w:firstLine="2730" w:firstLineChars="1300"/>
              <w:rPr>
                <w:szCs w:val="21"/>
              </w:rPr>
            </w:pPr>
            <w:r>
              <w:rPr>
                <w:rFonts w:hint="eastAsia"/>
                <w:b w:val="0"/>
                <w:kern w:val="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900" w:type="dxa"/>
            <w:vMerge w:val="restart"/>
            <w:vAlign w:val="center"/>
          </w:tcPr>
          <w:p>
            <w:pPr>
              <w:spacing w:line="440" w:lineRule="exact"/>
              <w:jc w:val="center"/>
              <w:rPr>
                <w:b/>
                <w:bCs/>
                <w:szCs w:val="21"/>
              </w:rPr>
            </w:pPr>
          </w:p>
        </w:tc>
        <w:tc>
          <w:tcPr>
            <w:tcW w:w="1383" w:type="dxa"/>
            <w:vAlign w:val="center"/>
          </w:tcPr>
          <w:p>
            <w:pPr>
              <w:spacing w:line="440" w:lineRule="exact"/>
              <w:jc w:val="center"/>
              <w:rPr>
                <w:szCs w:val="21"/>
              </w:rPr>
            </w:pPr>
            <w:r>
              <w:rPr>
                <w:rFonts w:hint="eastAsia"/>
                <w:szCs w:val="21"/>
              </w:rPr>
              <w:t>文体竞赛</w:t>
            </w:r>
          </w:p>
        </w:tc>
        <w:tc>
          <w:tcPr>
            <w:tcW w:w="4488" w:type="dxa"/>
            <w:gridSpan w:val="4"/>
            <w:vAlign w:val="center"/>
          </w:tcPr>
          <w:p>
            <w:pPr>
              <w:spacing w:line="440" w:lineRule="exact"/>
              <w:jc w:val="left"/>
              <w:rPr>
                <w:szCs w:val="21"/>
              </w:rPr>
            </w:pPr>
            <w:r>
              <w:rPr>
                <w:rFonts w:hint="eastAsia"/>
                <w:szCs w:val="21"/>
              </w:rPr>
              <w:t>参加国家级文体竞赛，根据获奖名次，第一名或一等奖加7分，第二、三名或二等奖加6分，第四名以后或三等奖加5分，优秀奖加2分。参加省级文体竞赛，根据获奖名次，第一名或一等奖加6分，第二、三名或二等奖加5分，第四名以后或三等奖加3分，优秀奖加1.5分。参加市级文体竞赛，根据获奖名次，第一名或一等奖加3.5分，第二、三名或二等奖加3分，第四名及以后或三等奖加2.5分，优秀奖加1分。</w:t>
            </w:r>
          </w:p>
        </w:tc>
        <w:tc>
          <w:tcPr>
            <w:tcW w:w="1859" w:type="dxa"/>
            <w:vAlign w:val="center"/>
          </w:tcPr>
          <w:p>
            <w:pPr>
              <w:spacing w:line="480" w:lineRule="exact"/>
              <w:rPr>
                <w:szCs w:val="21"/>
              </w:rPr>
            </w:pPr>
            <w:r>
              <w:rPr>
                <w:rFonts w:hint="eastAsia"/>
                <w:szCs w:val="21"/>
              </w:rPr>
              <w:t>学院组织的文体竞赛，根据一、二、三等奖分别加2.5，2，1.5分，系部文体竞赛，一、二、三等奖分别加2，1.5，1分。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b/>
                <w:bCs/>
                <w:szCs w:val="21"/>
              </w:rPr>
            </w:pPr>
          </w:p>
        </w:tc>
        <w:tc>
          <w:tcPr>
            <w:tcW w:w="1383" w:type="dxa"/>
            <w:vAlign w:val="center"/>
          </w:tcPr>
          <w:p>
            <w:pPr>
              <w:spacing w:line="440" w:lineRule="exact"/>
              <w:jc w:val="center"/>
              <w:rPr>
                <w:szCs w:val="21"/>
              </w:rPr>
            </w:pPr>
            <w:r>
              <w:rPr>
                <w:rFonts w:hint="eastAsia"/>
                <w:szCs w:val="21"/>
              </w:rPr>
              <w:t>团体类竞赛</w:t>
            </w:r>
          </w:p>
        </w:tc>
        <w:tc>
          <w:tcPr>
            <w:tcW w:w="6347" w:type="dxa"/>
            <w:gridSpan w:val="5"/>
            <w:vAlign w:val="center"/>
          </w:tcPr>
          <w:p>
            <w:pPr>
              <w:spacing w:line="440" w:lineRule="exact"/>
              <w:jc w:val="center"/>
              <w:rPr>
                <w:szCs w:val="21"/>
              </w:rPr>
            </w:pPr>
            <w:r>
              <w:rPr>
                <w:rFonts w:hint="eastAsia"/>
                <w:szCs w:val="21"/>
              </w:rPr>
              <w:t>第一、二、三名加3分，第四、五、六名加2分，第七、八名均加1分，未获名次的各队队员加0.5分。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b/>
                <w:bCs/>
                <w:szCs w:val="21"/>
              </w:rPr>
            </w:pPr>
          </w:p>
        </w:tc>
        <w:tc>
          <w:tcPr>
            <w:tcW w:w="1383" w:type="dxa"/>
            <w:vAlign w:val="center"/>
          </w:tcPr>
          <w:p>
            <w:pPr>
              <w:spacing w:line="440" w:lineRule="exact"/>
              <w:jc w:val="center"/>
              <w:rPr>
                <w:szCs w:val="21"/>
              </w:rPr>
            </w:pPr>
            <w:r>
              <w:rPr>
                <w:rFonts w:hint="eastAsia"/>
                <w:szCs w:val="21"/>
              </w:rPr>
              <w:t>学院各类征集活动</w:t>
            </w:r>
          </w:p>
        </w:tc>
        <w:tc>
          <w:tcPr>
            <w:tcW w:w="6347" w:type="dxa"/>
            <w:gridSpan w:val="5"/>
            <w:vAlign w:val="center"/>
          </w:tcPr>
          <w:p>
            <w:pPr>
              <w:spacing w:line="440" w:lineRule="exact"/>
              <w:jc w:val="center"/>
              <w:rPr>
                <w:szCs w:val="21"/>
              </w:rPr>
            </w:pPr>
            <w:r>
              <w:rPr>
                <w:rFonts w:hint="eastAsia"/>
                <w:szCs w:val="21"/>
              </w:rPr>
              <w:t>参加学院各类征集活动，按一、二、三等奖分别加2.5，2，1.5分，优秀奖加1分；参加系部级各类征集活动按一、二、三等奖、优秀奖及如人气奖等与名次无关奖项分别加2，1.5，1,0.5分。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b/>
                <w:bCs/>
                <w:szCs w:val="21"/>
              </w:rPr>
            </w:pPr>
          </w:p>
        </w:tc>
        <w:tc>
          <w:tcPr>
            <w:tcW w:w="1383" w:type="dxa"/>
            <w:vAlign w:val="center"/>
          </w:tcPr>
          <w:p>
            <w:pPr>
              <w:spacing w:line="440" w:lineRule="exact"/>
              <w:rPr>
                <w:szCs w:val="21"/>
              </w:rPr>
            </w:pPr>
            <w:r>
              <w:rPr>
                <w:rFonts w:hint="eastAsia"/>
                <w:szCs w:val="21"/>
              </w:rPr>
              <w:t>文艺演出</w:t>
            </w:r>
          </w:p>
        </w:tc>
        <w:tc>
          <w:tcPr>
            <w:tcW w:w="6347" w:type="dxa"/>
            <w:gridSpan w:val="5"/>
            <w:vAlign w:val="center"/>
          </w:tcPr>
          <w:p>
            <w:pPr>
              <w:spacing w:line="440" w:lineRule="exact"/>
              <w:jc w:val="center"/>
              <w:rPr>
                <w:szCs w:val="21"/>
              </w:rPr>
            </w:pPr>
            <w:r>
              <w:rPr>
                <w:rFonts w:hint="eastAsia"/>
                <w:szCs w:val="21"/>
              </w:rPr>
              <w:t>每人次加1分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b/>
                <w:bCs/>
                <w:szCs w:val="21"/>
              </w:rPr>
            </w:pPr>
          </w:p>
        </w:tc>
        <w:tc>
          <w:tcPr>
            <w:tcW w:w="1383" w:type="dxa"/>
            <w:vAlign w:val="center"/>
          </w:tcPr>
          <w:p>
            <w:pPr>
              <w:spacing w:line="440" w:lineRule="exact"/>
              <w:jc w:val="center"/>
              <w:rPr>
                <w:szCs w:val="21"/>
              </w:rPr>
            </w:pPr>
            <w:r>
              <w:rPr>
                <w:rFonts w:hint="eastAsia"/>
                <w:szCs w:val="21"/>
              </w:rPr>
              <w:t>实践服务及劳动加分</w:t>
            </w:r>
          </w:p>
        </w:tc>
        <w:tc>
          <w:tcPr>
            <w:tcW w:w="6347" w:type="dxa"/>
            <w:gridSpan w:val="5"/>
            <w:vAlign w:val="center"/>
          </w:tcPr>
          <w:p>
            <w:pPr>
              <w:spacing w:line="440" w:lineRule="exact"/>
              <w:jc w:val="center"/>
              <w:rPr>
                <w:szCs w:val="21"/>
              </w:rPr>
            </w:pPr>
            <w:r>
              <w:rPr>
                <w:rFonts w:hint="eastAsia"/>
                <w:szCs w:val="21"/>
              </w:rPr>
              <w:t>根据参加实践活动和劳动情况加0.5-12分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b/>
                <w:bCs/>
                <w:szCs w:val="21"/>
              </w:rPr>
            </w:pPr>
          </w:p>
        </w:tc>
        <w:tc>
          <w:tcPr>
            <w:tcW w:w="1383" w:type="dxa"/>
            <w:vAlign w:val="center"/>
          </w:tcPr>
          <w:p>
            <w:pPr>
              <w:spacing w:line="440" w:lineRule="exact"/>
              <w:jc w:val="center"/>
              <w:rPr>
                <w:szCs w:val="21"/>
              </w:rPr>
            </w:pPr>
            <w:r>
              <w:rPr>
                <w:rFonts w:hint="eastAsia"/>
                <w:szCs w:val="21"/>
              </w:rPr>
              <w:t>荣誉称号</w:t>
            </w:r>
          </w:p>
        </w:tc>
        <w:tc>
          <w:tcPr>
            <w:tcW w:w="2267" w:type="dxa"/>
            <w:vAlign w:val="center"/>
          </w:tcPr>
          <w:p>
            <w:pPr>
              <w:spacing w:line="440" w:lineRule="exact"/>
              <w:jc w:val="center"/>
              <w:rPr>
                <w:szCs w:val="21"/>
              </w:rPr>
            </w:pPr>
            <w:r>
              <w:rPr>
                <w:rFonts w:hint="eastAsia"/>
                <w:szCs w:val="21"/>
              </w:rPr>
              <w:t>国家级7分</w:t>
            </w:r>
          </w:p>
        </w:tc>
        <w:tc>
          <w:tcPr>
            <w:tcW w:w="1654" w:type="dxa"/>
            <w:vAlign w:val="center"/>
          </w:tcPr>
          <w:p>
            <w:pPr>
              <w:spacing w:line="440" w:lineRule="exact"/>
              <w:jc w:val="center"/>
              <w:rPr>
                <w:szCs w:val="21"/>
              </w:rPr>
            </w:pPr>
            <w:r>
              <w:rPr>
                <w:rFonts w:hint="eastAsia"/>
                <w:szCs w:val="21"/>
              </w:rPr>
              <w:t>省部级6分</w:t>
            </w:r>
          </w:p>
        </w:tc>
        <w:tc>
          <w:tcPr>
            <w:tcW w:w="2426" w:type="dxa"/>
            <w:gridSpan w:val="3"/>
            <w:vAlign w:val="center"/>
          </w:tcPr>
          <w:p>
            <w:pPr>
              <w:spacing w:line="440" w:lineRule="exact"/>
              <w:jc w:val="center"/>
              <w:rPr>
                <w:szCs w:val="21"/>
              </w:rPr>
            </w:pPr>
            <w:r>
              <w:rPr>
                <w:rFonts w:hint="eastAsia"/>
                <w:szCs w:val="21"/>
              </w:rPr>
              <w:t>市级3.5分，院级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b/>
                <w:bCs/>
                <w:szCs w:val="21"/>
              </w:rPr>
            </w:pPr>
          </w:p>
        </w:tc>
        <w:tc>
          <w:tcPr>
            <w:tcW w:w="1383" w:type="dxa"/>
            <w:vAlign w:val="center"/>
          </w:tcPr>
          <w:p>
            <w:pPr>
              <w:spacing w:line="440" w:lineRule="exact"/>
              <w:jc w:val="center"/>
              <w:rPr>
                <w:szCs w:val="21"/>
              </w:rPr>
            </w:pPr>
            <w:r>
              <w:rPr>
                <w:rFonts w:hint="eastAsia"/>
                <w:szCs w:val="21"/>
              </w:rPr>
              <w:t>通报表扬</w:t>
            </w:r>
          </w:p>
        </w:tc>
        <w:tc>
          <w:tcPr>
            <w:tcW w:w="6347" w:type="dxa"/>
            <w:gridSpan w:val="5"/>
            <w:vAlign w:val="center"/>
          </w:tcPr>
          <w:p>
            <w:pPr>
              <w:spacing w:line="440" w:lineRule="exact"/>
              <w:rPr>
                <w:szCs w:val="21"/>
              </w:rPr>
            </w:pPr>
            <w:r>
              <w:rPr>
                <w:rFonts w:hint="eastAsia"/>
                <w:szCs w:val="21"/>
              </w:rPr>
              <w:t>受学院通报表扬一次加2分、系部通报表扬一次加1分。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szCs w:val="21"/>
              </w:rPr>
            </w:pPr>
          </w:p>
        </w:tc>
        <w:tc>
          <w:tcPr>
            <w:tcW w:w="1383" w:type="dxa"/>
            <w:vAlign w:val="center"/>
          </w:tcPr>
          <w:p>
            <w:pPr>
              <w:spacing w:line="440" w:lineRule="exact"/>
              <w:jc w:val="center"/>
              <w:rPr>
                <w:szCs w:val="21"/>
              </w:rPr>
            </w:pPr>
            <w:r>
              <w:rPr>
                <w:rFonts w:hint="eastAsia"/>
                <w:szCs w:val="21"/>
              </w:rPr>
              <w:t>宿舍文化</w:t>
            </w:r>
          </w:p>
          <w:p>
            <w:pPr>
              <w:spacing w:line="440" w:lineRule="exact"/>
              <w:jc w:val="center"/>
              <w:rPr>
                <w:szCs w:val="21"/>
              </w:rPr>
            </w:pPr>
            <w:r>
              <w:rPr>
                <w:rFonts w:hint="eastAsia"/>
                <w:szCs w:val="21"/>
              </w:rPr>
              <w:t>活动类</w:t>
            </w:r>
          </w:p>
        </w:tc>
        <w:tc>
          <w:tcPr>
            <w:tcW w:w="6347" w:type="dxa"/>
            <w:gridSpan w:val="5"/>
            <w:vAlign w:val="center"/>
          </w:tcPr>
          <w:p>
            <w:pPr>
              <w:spacing w:line="440" w:lineRule="exact"/>
              <w:rPr>
                <w:szCs w:val="21"/>
              </w:rPr>
            </w:pPr>
            <w:r>
              <w:rPr>
                <w:rFonts w:hint="eastAsia"/>
                <w:szCs w:val="21"/>
              </w:rPr>
              <w:t>院级十佳舍长者加2.5分，所在宿舍其他成员加1.5分；系部十佳舍长者加2分，所在宿舍其他成员加1分。院级文明宿舍、优秀宿舍、和谐宿舍等，宿舍成员每人加1分；系部级每人加0.5分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szCs w:val="21"/>
              </w:rPr>
            </w:pPr>
          </w:p>
        </w:tc>
        <w:tc>
          <w:tcPr>
            <w:tcW w:w="1383" w:type="dxa"/>
            <w:vMerge w:val="restart"/>
            <w:vAlign w:val="center"/>
          </w:tcPr>
          <w:p>
            <w:pPr>
              <w:spacing w:line="440" w:lineRule="exact"/>
              <w:jc w:val="center"/>
              <w:rPr>
                <w:szCs w:val="21"/>
              </w:rPr>
            </w:pPr>
            <w:r>
              <w:rPr>
                <w:rFonts w:hint="eastAsia"/>
                <w:szCs w:val="21"/>
              </w:rPr>
              <w:t>图书馆</w:t>
            </w:r>
          </w:p>
          <w:p>
            <w:pPr>
              <w:spacing w:line="440" w:lineRule="exact"/>
              <w:jc w:val="center"/>
              <w:rPr>
                <w:szCs w:val="21"/>
              </w:rPr>
            </w:pPr>
            <w:r>
              <w:rPr>
                <w:rFonts w:hint="eastAsia"/>
                <w:szCs w:val="21"/>
              </w:rPr>
              <w:t>活动类</w:t>
            </w:r>
          </w:p>
        </w:tc>
        <w:tc>
          <w:tcPr>
            <w:tcW w:w="6347" w:type="dxa"/>
            <w:gridSpan w:val="5"/>
            <w:vAlign w:val="center"/>
          </w:tcPr>
          <w:p>
            <w:pPr>
              <w:spacing w:line="440" w:lineRule="exact"/>
              <w:jc w:val="center"/>
              <w:rPr>
                <w:szCs w:val="21"/>
              </w:rPr>
            </w:pPr>
            <w:r>
              <w:rPr>
                <w:rFonts w:hint="eastAsia"/>
                <w:szCs w:val="21"/>
              </w:rPr>
              <w:t>一等奖或第一、二、三名，二等奖或第四、五、六名，三等奖或第七、八名，分别加2，1.5，1分，优秀奖及如人气奖等与名次无关奖项加0.5分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szCs w:val="21"/>
              </w:rPr>
            </w:pPr>
          </w:p>
        </w:tc>
        <w:tc>
          <w:tcPr>
            <w:tcW w:w="1383" w:type="dxa"/>
            <w:vMerge w:val="continue"/>
            <w:vAlign w:val="center"/>
          </w:tcPr>
          <w:p>
            <w:pPr>
              <w:spacing w:line="440" w:lineRule="exact"/>
              <w:jc w:val="center"/>
              <w:rPr>
                <w:szCs w:val="21"/>
              </w:rPr>
            </w:pPr>
          </w:p>
        </w:tc>
        <w:tc>
          <w:tcPr>
            <w:tcW w:w="6347" w:type="dxa"/>
            <w:gridSpan w:val="5"/>
            <w:vAlign w:val="center"/>
          </w:tcPr>
          <w:p>
            <w:pPr>
              <w:spacing w:line="440" w:lineRule="exact"/>
              <w:jc w:val="center"/>
              <w:rPr>
                <w:szCs w:val="21"/>
              </w:rPr>
            </w:pPr>
            <w:r>
              <w:rPr>
                <w:rFonts w:hint="eastAsia"/>
                <w:szCs w:val="21"/>
              </w:rPr>
              <w:t>进入图书馆读书次数，每班第一、二、三名加1.5分，第四、五、六名加1分，第七、八、九、十名加0.5分。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szCs w:val="21"/>
              </w:rPr>
            </w:pPr>
          </w:p>
        </w:tc>
        <w:tc>
          <w:tcPr>
            <w:tcW w:w="1383" w:type="dxa"/>
            <w:vMerge w:val="continue"/>
            <w:vAlign w:val="center"/>
          </w:tcPr>
          <w:p>
            <w:pPr>
              <w:spacing w:line="440" w:lineRule="exact"/>
              <w:jc w:val="center"/>
              <w:rPr>
                <w:szCs w:val="21"/>
              </w:rPr>
            </w:pPr>
          </w:p>
        </w:tc>
        <w:tc>
          <w:tcPr>
            <w:tcW w:w="6347" w:type="dxa"/>
            <w:gridSpan w:val="5"/>
            <w:vAlign w:val="center"/>
          </w:tcPr>
          <w:p>
            <w:pPr>
              <w:spacing w:line="480" w:lineRule="exact"/>
              <w:ind w:firstLine="420" w:firstLineChars="200"/>
              <w:rPr>
                <w:szCs w:val="21"/>
              </w:rPr>
            </w:pPr>
            <w:r>
              <w:rPr>
                <w:rFonts w:hint="eastAsia"/>
                <w:szCs w:val="21"/>
              </w:rPr>
              <w:t>根据借书数量，每班第一、二、三名加1.5分，第四、五、六名加1分，第七、八、九、十名加0.5分。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 w:type="dxa"/>
            <w:vMerge w:val="continue"/>
            <w:vAlign w:val="center"/>
          </w:tcPr>
          <w:p>
            <w:pPr>
              <w:spacing w:line="440" w:lineRule="exact"/>
              <w:jc w:val="center"/>
              <w:rPr>
                <w:szCs w:val="21"/>
              </w:rPr>
            </w:pPr>
          </w:p>
        </w:tc>
        <w:tc>
          <w:tcPr>
            <w:tcW w:w="1383" w:type="dxa"/>
            <w:vAlign w:val="center"/>
          </w:tcPr>
          <w:p>
            <w:pPr>
              <w:spacing w:line="440" w:lineRule="exact"/>
              <w:jc w:val="center"/>
              <w:rPr>
                <w:szCs w:val="21"/>
              </w:rPr>
            </w:pPr>
            <w:r>
              <w:rPr>
                <w:rFonts w:hint="eastAsia"/>
                <w:szCs w:val="21"/>
              </w:rPr>
              <w:t>报告会类</w:t>
            </w:r>
          </w:p>
        </w:tc>
        <w:tc>
          <w:tcPr>
            <w:tcW w:w="6347" w:type="dxa"/>
            <w:gridSpan w:val="5"/>
            <w:vAlign w:val="center"/>
          </w:tcPr>
          <w:p>
            <w:pPr>
              <w:spacing w:line="440" w:lineRule="exact"/>
              <w:jc w:val="center"/>
              <w:rPr>
                <w:szCs w:val="21"/>
              </w:rPr>
            </w:pPr>
            <w:r>
              <w:rPr>
                <w:rFonts w:hint="eastAsia"/>
                <w:szCs w:val="21"/>
              </w:rPr>
              <w:t>每人每次凭院系里证明加0.5分。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vAlign w:val="center"/>
          </w:tcPr>
          <w:p>
            <w:pPr>
              <w:spacing w:line="440" w:lineRule="exact"/>
              <w:jc w:val="center"/>
              <w:rPr>
                <w:szCs w:val="21"/>
              </w:rPr>
            </w:pPr>
          </w:p>
        </w:tc>
        <w:tc>
          <w:tcPr>
            <w:tcW w:w="1383" w:type="dxa"/>
            <w:vAlign w:val="center"/>
          </w:tcPr>
          <w:p>
            <w:pPr>
              <w:spacing w:line="440" w:lineRule="exact"/>
              <w:jc w:val="center"/>
              <w:rPr>
                <w:szCs w:val="21"/>
              </w:rPr>
            </w:pPr>
            <w:r>
              <w:rPr>
                <w:rFonts w:hint="eastAsia"/>
                <w:szCs w:val="21"/>
              </w:rPr>
              <w:t>学生会干部加分</w:t>
            </w:r>
          </w:p>
        </w:tc>
        <w:tc>
          <w:tcPr>
            <w:tcW w:w="6347" w:type="dxa"/>
            <w:gridSpan w:val="5"/>
            <w:vAlign w:val="center"/>
          </w:tcPr>
          <w:p>
            <w:pPr>
              <w:spacing w:line="480" w:lineRule="exact"/>
              <w:ind w:firstLine="420" w:firstLineChars="200"/>
              <w:rPr>
                <w:szCs w:val="21"/>
              </w:rPr>
            </w:pPr>
            <w:r>
              <w:rPr>
                <w:rFonts w:hint="eastAsia"/>
                <w:szCs w:val="21"/>
              </w:rPr>
              <w:t>院学生会主席加3分，副主席和团委副书记加2.5分，部长加2分，副部长加1.5分，部员加1分；系学生会主席加2分，副主席和团总支副书记加1.5分，部长加1分，副部长加0.5分，部员加0.3分；班长、团支书加1分，其他班委0.5分，宿舍长加0.2分。其他学生组织负责人参照上述办法进行加分。</w:t>
            </w:r>
          </w:p>
        </w:tc>
      </w:tr>
    </w:tbl>
    <w:p/>
    <w:p>
      <w:pPr>
        <w:spacing w:line="440" w:lineRule="exact"/>
        <w:sectPr>
          <w:pgSz w:w="11906" w:h="16838"/>
          <w:pgMar w:top="1440" w:right="1800" w:bottom="1440" w:left="1800" w:header="851" w:footer="992" w:gutter="0"/>
          <w:pgNumType w:fmt="numberInDash"/>
          <w:cols w:space="720" w:num="1"/>
          <w:docGrid w:type="lines" w:linePitch="312" w:charSpace="0"/>
        </w:sectPr>
      </w:pPr>
    </w:p>
    <w:p>
      <w:pPr>
        <w:spacing w:line="440" w:lineRule="exact"/>
        <w:rPr>
          <w:rFonts w:ascii="宋体" w:hAnsi="宋体"/>
          <w:b/>
          <w:sz w:val="24"/>
        </w:rPr>
      </w:pPr>
      <w:r>
        <w:rPr>
          <w:rFonts w:hint="eastAsia" w:ascii="宋体" w:hAnsi="宋体"/>
          <w:b/>
          <w:sz w:val="24"/>
        </w:rPr>
        <w:t>附件5</w:t>
      </w:r>
    </w:p>
    <w:p>
      <w:pPr>
        <w:spacing w:line="440" w:lineRule="exact"/>
        <w:rPr>
          <w:rFonts w:ascii="黑体" w:eastAsia="黑体"/>
          <w:b/>
          <w:sz w:val="32"/>
          <w:szCs w:val="32"/>
        </w:rPr>
      </w:pPr>
      <w:r>
        <w:rPr>
          <w:rFonts w:hint="eastAsia" w:ascii="黑体" w:eastAsia="黑体"/>
          <w:b/>
          <w:sz w:val="32"/>
          <w:szCs w:val="32"/>
        </w:rPr>
        <w:t>承德应用技术职业学院学生综合素质测评文体（劳）评分表</w:t>
      </w:r>
    </w:p>
    <w:p>
      <w:pPr>
        <w:spacing w:line="440" w:lineRule="exact"/>
        <w:ind w:firstLine="1920" w:firstLineChars="800"/>
        <w:rPr>
          <w:sz w:val="24"/>
        </w:rPr>
      </w:pPr>
    </w:p>
    <w:p>
      <w:pPr>
        <w:spacing w:line="440" w:lineRule="exact"/>
        <w:rPr>
          <w:sz w:val="24"/>
        </w:rPr>
      </w:pPr>
      <w:r>
        <w:rPr>
          <w:rFonts w:hint="eastAsia"/>
          <w:sz w:val="24"/>
        </w:rPr>
        <w:t>班级：         学号：                姓名：</w:t>
      </w:r>
    </w:p>
    <w:tbl>
      <w:tblPr>
        <w:tblStyle w:val="6"/>
        <w:tblW w:w="822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405"/>
        <w:gridCol w:w="2409"/>
        <w:gridCol w:w="70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54" w:type="dxa"/>
            <w:vMerge w:val="restart"/>
            <w:textDirection w:val="tbRlV"/>
            <w:vAlign w:val="center"/>
          </w:tcPr>
          <w:p>
            <w:pPr>
              <w:spacing w:line="440" w:lineRule="exact"/>
              <w:ind w:left="113" w:right="113"/>
              <w:jc w:val="center"/>
            </w:pPr>
          </w:p>
        </w:tc>
        <w:tc>
          <w:tcPr>
            <w:tcW w:w="3405" w:type="dxa"/>
            <w:vAlign w:val="center"/>
          </w:tcPr>
          <w:p>
            <w:pPr>
              <w:spacing w:line="440" w:lineRule="exact"/>
              <w:jc w:val="center"/>
            </w:pPr>
            <w:r>
              <w:t>项目</w:t>
            </w:r>
          </w:p>
        </w:tc>
        <w:tc>
          <w:tcPr>
            <w:tcW w:w="2409" w:type="dxa"/>
            <w:vAlign w:val="center"/>
          </w:tcPr>
          <w:p>
            <w:pPr>
              <w:spacing w:line="440" w:lineRule="exact"/>
              <w:jc w:val="center"/>
            </w:pPr>
            <w:r>
              <w:t>分数</w:t>
            </w:r>
          </w:p>
        </w:tc>
        <w:tc>
          <w:tcPr>
            <w:tcW w:w="709" w:type="dxa"/>
            <w:vMerge w:val="restart"/>
            <w:vAlign w:val="center"/>
          </w:tcPr>
          <w:p>
            <w:pPr>
              <w:spacing w:line="440" w:lineRule="exact"/>
              <w:jc w:val="center"/>
            </w:pPr>
            <w:r>
              <w:rPr>
                <w:rFonts w:hint="eastAsia"/>
              </w:rPr>
              <w:t>合计</w:t>
            </w:r>
          </w:p>
        </w:tc>
        <w:tc>
          <w:tcPr>
            <w:tcW w:w="746" w:type="dxa"/>
            <w:vMerge w:val="restart"/>
            <w:vAlign w:val="center"/>
          </w:tcPr>
          <w:p>
            <w:pPr>
              <w:spacing w:line="440" w:lineRule="exact"/>
              <w:jc w:val="center"/>
            </w:pPr>
            <w: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54" w:type="dxa"/>
            <w:vMerge w:val="continue"/>
            <w:vAlign w:val="center"/>
          </w:tcPr>
          <w:p>
            <w:pPr>
              <w:spacing w:line="440" w:lineRule="exact"/>
              <w:jc w:val="center"/>
            </w:pPr>
          </w:p>
        </w:tc>
        <w:tc>
          <w:tcPr>
            <w:tcW w:w="3405" w:type="dxa"/>
            <w:vAlign w:val="center"/>
          </w:tcPr>
          <w:p>
            <w:pPr>
              <w:spacing w:line="440" w:lineRule="exact"/>
              <w:jc w:val="center"/>
            </w:pPr>
            <w:r>
              <w:rPr>
                <w:rFonts w:hint="eastAsia"/>
              </w:rPr>
              <w:t>早操（满分30分）</w:t>
            </w: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4" w:type="dxa"/>
            <w:vMerge w:val="continue"/>
            <w:vAlign w:val="center"/>
          </w:tcPr>
          <w:p>
            <w:pPr>
              <w:spacing w:line="440" w:lineRule="exact"/>
              <w:jc w:val="center"/>
            </w:pPr>
          </w:p>
        </w:tc>
        <w:tc>
          <w:tcPr>
            <w:tcW w:w="3405" w:type="dxa"/>
            <w:vAlign w:val="center"/>
          </w:tcPr>
          <w:p>
            <w:pPr>
              <w:spacing w:line="440" w:lineRule="exact"/>
              <w:jc w:val="center"/>
            </w:pPr>
            <w:r>
              <w:rPr>
                <w:rFonts w:hint="eastAsia"/>
              </w:rPr>
              <w:t>身体素质（满分10分）</w:t>
            </w: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4" w:type="dxa"/>
            <w:vMerge w:val="restart"/>
            <w:textDirection w:val="tbRlV"/>
            <w:vAlign w:val="center"/>
          </w:tcPr>
          <w:p>
            <w:pPr>
              <w:spacing w:line="440" w:lineRule="exact"/>
              <w:ind w:left="113" w:right="113"/>
              <w:jc w:val="center"/>
            </w:pPr>
            <w:r>
              <w:rPr>
                <w:rFonts w:hint="eastAsia"/>
                <w:b/>
              </w:rPr>
              <w:t>文体综合素质分（满分50分）</w:t>
            </w: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restart"/>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4" w:type="dxa"/>
            <w:vMerge w:val="continue"/>
            <w:vAlign w:val="center"/>
          </w:tcPr>
          <w:p>
            <w:pPr>
              <w:spacing w:line="440" w:lineRule="exact"/>
            </w:pPr>
          </w:p>
        </w:tc>
        <w:tc>
          <w:tcPr>
            <w:tcW w:w="3405" w:type="dxa"/>
            <w:vAlign w:val="center"/>
          </w:tcPr>
          <w:p>
            <w:pPr>
              <w:spacing w:line="440" w:lineRule="exact"/>
              <w:jc w:val="center"/>
            </w:pPr>
          </w:p>
        </w:tc>
        <w:tc>
          <w:tcPr>
            <w:tcW w:w="2409" w:type="dxa"/>
            <w:vAlign w:val="center"/>
          </w:tcPr>
          <w:p>
            <w:pPr>
              <w:spacing w:line="440" w:lineRule="exact"/>
              <w:jc w:val="center"/>
            </w:pPr>
          </w:p>
        </w:tc>
        <w:tc>
          <w:tcPr>
            <w:tcW w:w="709" w:type="dxa"/>
            <w:vMerge w:val="continue"/>
            <w:vAlign w:val="center"/>
          </w:tcPr>
          <w:p>
            <w:pPr>
              <w:spacing w:line="440" w:lineRule="exact"/>
              <w:jc w:val="center"/>
            </w:pPr>
          </w:p>
        </w:tc>
        <w:tc>
          <w:tcPr>
            <w:tcW w:w="746" w:type="dxa"/>
            <w:vMerge w:val="continue"/>
            <w:vAlign w:val="center"/>
          </w:tcPr>
          <w:p>
            <w:pPr>
              <w:spacing w:line="440" w:lineRule="exact"/>
              <w:jc w:val="center"/>
            </w:pPr>
          </w:p>
        </w:tc>
      </w:tr>
    </w:tbl>
    <w:p>
      <w:pPr>
        <w:spacing w:line="440" w:lineRule="exact"/>
      </w:pPr>
    </w:p>
    <w:p>
      <w:pPr>
        <w:spacing w:after="156" w:afterLines="50" w:line="440" w:lineRule="exact"/>
        <w:rPr>
          <w:rFonts w:ascii="宋体" w:hAnsi="宋体"/>
          <w:b/>
          <w:sz w:val="24"/>
        </w:rPr>
      </w:pPr>
    </w:p>
    <w:p>
      <w:pPr>
        <w:spacing w:line="440" w:lineRule="exact"/>
      </w:pPr>
    </w:p>
    <w:p>
      <w:pPr>
        <w:spacing w:line="440" w:lineRule="exact"/>
        <w:rPr>
          <w:rFonts w:asciiTheme="minorEastAsia" w:hAnsiTheme="minorEastAsia"/>
          <w:sz w:val="28"/>
          <w:szCs w:val="28"/>
        </w:rPr>
      </w:pPr>
    </w:p>
    <w:p>
      <w:pPr>
        <w:spacing w:line="440" w:lineRule="exact"/>
        <w:rPr>
          <w:rFonts w:asciiTheme="minorEastAsia" w:hAnsiTheme="minorEastAsia"/>
          <w:sz w:val="28"/>
          <w:szCs w:val="28"/>
        </w:rPr>
      </w:pPr>
    </w:p>
    <w:p>
      <w:pPr>
        <w:spacing w:line="440" w:lineRule="exact"/>
        <w:rPr>
          <w:rFonts w:asciiTheme="minorEastAsia" w:hAnsiTheme="minorEastAsia"/>
          <w:sz w:val="28"/>
          <w:szCs w:val="28"/>
        </w:rPr>
      </w:pPr>
    </w:p>
    <w:p>
      <w:pPr>
        <w:spacing w:line="440" w:lineRule="exact"/>
        <w:rPr>
          <w:rFonts w:asciiTheme="minorEastAsia" w:hAnsiTheme="minorEastAsia"/>
          <w:sz w:val="28"/>
          <w:szCs w:val="28"/>
        </w:rPr>
      </w:pPr>
    </w:p>
    <w:p>
      <w:pPr>
        <w:spacing w:line="440" w:lineRule="exact"/>
        <w:rPr>
          <w:rFonts w:ascii="宋体" w:hAnsi="宋体"/>
          <w:b/>
          <w:sz w:val="24"/>
        </w:rPr>
      </w:pPr>
      <w:r>
        <w:rPr>
          <w:rFonts w:hint="eastAsia" w:ascii="宋体" w:hAnsi="宋体"/>
          <w:b/>
          <w:sz w:val="24"/>
        </w:rPr>
        <w:t>附件6</w:t>
      </w:r>
    </w:p>
    <w:p>
      <w:pPr>
        <w:spacing w:after="156" w:afterLines="50" w:line="440" w:lineRule="exact"/>
        <w:jc w:val="center"/>
        <w:rPr>
          <w:rFonts w:ascii="黑体" w:eastAsia="黑体"/>
          <w:b/>
          <w:sz w:val="32"/>
          <w:szCs w:val="32"/>
        </w:rPr>
      </w:pPr>
      <w:r>
        <w:rPr>
          <w:rFonts w:hint="eastAsia" w:ascii="黑体" w:eastAsia="黑体"/>
          <w:b/>
          <w:sz w:val="32"/>
          <w:szCs w:val="32"/>
        </w:rPr>
        <w:t>承德应用技术职业学院学生综合素质测评统计表</w:t>
      </w:r>
    </w:p>
    <w:p>
      <w:pPr>
        <w:spacing w:line="440" w:lineRule="exact"/>
        <w:ind w:firstLine="1920" w:firstLineChars="800"/>
        <w:rPr>
          <w:sz w:val="24"/>
        </w:rPr>
      </w:pPr>
      <w:r>
        <w:rPr>
          <w:rFonts w:hint="eastAsia"/>
          <w:sz w:val="24"/>
        </w:rPr>
        <w:t>系部：                   班级：</w:t>
      </w:r>
    </w:p>
    <w:tbl>
      <w:tblPr>
        <w:tblStyle w:val="6"/>
        <w:tblpPr w:leftFromText="180" w:rightFromText="180" w:vertAnchor="text" w:horzAnchor="page" w:tblpX="2026" w:tblpY="64"/>
        <w:tblOverlap w:val="never"/>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26"/>
        <w:gridCol w:w="1775"/>
        <w:gridCol w:w="1588"/>
        <w:gridCol w:w="212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04" w:type="dxa"/>
            <w:vAlign w:val="center"/>
          </w:tcPr>
          <w:p>
            <w:pPr>
              <w:spacing w:line="440" w:lineRule="exact"/>
              <w:jc w:val="center"/>
              <w:rPr>
                <w:rFonts w:ascii="宋体" w:hAnsi="宋体"/>
                <w:kern w:val="0"/>
                <w:szCs w:val="21"/>
              </w:rPr>
            </w:pPr>
            <w:r>
              <w:rPr>
                <w:rFonts w:hint="eastAsia" w:ascii="宋体" w:hAnsi="宋体"/>
                <w:kern w:val="0"/>
                <w:szCs w:val="21"/>
              </w:rPr>
              <w:t>序号</w:t>
            </w:r>
          </w:p>
        </w:tc>
        <w:tc>
          <w:tcPr>
            <w:tcW w:w="926" w:type="dxa"/>
            <w:vAlign w:val="center"/>
          </w:tcPr>
          <w:p>
            <w:pPr>
              <w:spacing w:line="440" w:lineRule="exact"/>
              <w:jc w:val="center"/>
              <w:rPr>
                <w:szCs w:val="21"/>
              </w:rPr>
            </w:pPr>
            <w:r>
              <w:rPr>
                <w:rFonts w:hint="eastAsia"/>
                <w:szCs w:val="21"/>
              </w:rPr>
              <w:t>姓名</w:t>
            </w:r>
          </w:p>
        </w:tc>
        <w:tc>
          <w:tcPr>
            <w:tcW w:w="1775" w:type="dxa"/>
            <w:vAlign w:val="center"/>
          </w:tcPr>
          <w:p>
            <w:pPr>
              <w:spacing w:line="440" w:lineRule="exact"/>
              <w:jc w:val="center"/>
              <w:rPr>
                <w:szCs w:val="21"/>
              </w:rPr>
            </w:pPr>
            <w:r>
              <w:rPr>
                <w:rFonts w:hint="eastAsia"/>
                <w:szCs w:val="21"/>
              </w:rPr>
              <w:t>德育成绩*20%</w:t>
            </w:r>
          </w:p>
          <w:p>
            <w:pPr>
              <w:spacing w:line="440" w:lineRule="exact"/>
              <w:jc w:val="center"/>
              <w:rPr>
                <w:szCs w:val="21"/>
              </w:rPr>
            </w:pPr>
          </w:p>
        </w:tc>
        <w:tc>
          <w:tcPr>
            <w:tcW w:w="1588" w:type="dxa"/>
            <w:vAlign w:val="center"/>
          </w:tcPr>
          <w:p>
            <w:pPr>
              <w:spacing w:line="440" w:lineRule="exact"/>
              <w:jc w:val="center"/>
              <w:rPr>
                <w:szCs w:val="21"/>
              </w:rPr>
            </w:pPr>
            <w:r>
              <w:rPr>
                <w:rFonts w:hint="eastAsia"/>
                <w:szCs w:val="21"/>
              </w:rPr>
              <w:t>智育成绩*60%</w:t>
            </w:r>
          </w:p>
          <w:p>
            <w:pPr>
              <w:spacing w:line="440" w:lineRule="exact"/>
              <w:jc w:val="center"/>
              <w:rPr>
                <w:szCs w:val="21"/>
              </w:rPr>
            </w:pPr>
          </w:p>
        </w:tc>
        <w:tc>
          <w:tcPr>
            <w:tcW w:w="2125" w:type="dxa"/>
            <w:vAlign w:val="center"/>
          </w:tcPr>
          <w:p>
            <w:pPr>
              <w:spacing w:line="440" w:lineRule="exact"/>
              <w:jc w:val="center"/>
              <w:rPr>
                <w:szCs w:val="21"/>
              </w:rPr>
            </w:pPr>
            <w:r>
              <w:rPr>
                <w:rFonts w:hint="eastAsia"/>
                <w:szCs w:val="21"/>
              </w:rPr>
              <w:t>文体（劳）成绩*20%</w:t>
            </w:r>
          </w:p>
          <w:p>
            <w:pPr>
              <w:spacing w:line="440" w:lineRule="exact"/>
              <w:jc w:val="center"/>
              <w:rPr>
                <w:szCs w:val="21"/>
              </w:rPr>
            </w:pPr>
          </w:p>
        </w:tc>
        <w:tc>
          <w:tcPr>
            <w:tcW w:w="1000" w:type="dxa"/>
            <w:vAlign w:val="center"/>
          </w:tcPr>
          <w:p>
            <w:pPr>
              <w:spacing w:line="440" w:lineRule="exact"/>
              <w:jc w:val="center"/>
              <w:rPr>
                <w:szCs w:val="21"/>
              </w:rPr>
            </w:pPr>
            <w:r>
              <w:rPr>
                <w:rFonts w:hint="eastAsia"/>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2</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3</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4</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5</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6</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7</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8</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9</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10</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11</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12</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13</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14</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15</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16</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17</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18</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19</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20</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21</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22</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tcPr>
          <w:p>
            <w:pPr>
              <w:spacing w:line="440" w:lineRule="exact"/>
              <w:jc w:val="left"/>
              <w:rPr>
                <w:szCs w:val="21"/>
              </w:rPr>
            </w:pPr>
            <w:r>
              <w:rPr>
                <w:rFonts w:hint="eastAsia"/>
                <w:szCs w:val="21"/>
              </w:rPr>
              <w:t>23</w:t>
            </w:r>
          </w:p>
        </w:tc>
        <w:tc>
          <w:tcPr>
            <w:tcW w:w="926" w:type="dxa"/>
          </w:tcPr>
          <w:p>
            <w:pPr>
              <w:spacing w:line="440" w:lineRule="exact"/>
              <w:jc w:val="left"/>
              <w:rPr>
                <w:szCs w:val="21"/>
              </w:rPr>
            </w:pPr>
          </w:p>
        </w:tc>
        <w:tc>
          <w:tcPr>
            <w:tcW w:w="1775" w:type="dxa"/>
          </w:tcPr>
          <w:p>
            <w:pPr>
              <w:spacing w:line="440" w:lineRule="exact"/>
              <w:jc w:val="left"/>
              <w:rPr>
                <w:szCs w:val="21"/>
              </w:rPr>
            </w:pPr>
          </w:p>
        </w:tc>
        <w:tc>
          <w:tcPr>
            <w:tcW w:w="1588" w:type="dxa"/>
          </w:tcPr>
          <w:p>
            <w:pPr>
              <w:spacing w:line="440" w:lineRule="exact"/>
              <w:jc w:val="left"/>
              <w:rPr>
                <w:szCs w:val="21"/>
              </w:rPr>
            </w:pPr>
          </w:p>
        </w:tc>
        <w:tc>
          <w:tcPr>
            <w:tcW w:w="2125" w:type="dxa"/>
          </w:tcPr>
          <w:p>
            <w:pPr>
              <w:spacing w:line="440" w:lineRule="exact"/>
              <w:jc w:val="left"/>
              <w:rPr>
                <w:szCs w:val="21"/>
              </w:rPr>
            </w:pPr>
          </w:p>
        </w:tc>
        <w:tc>
          <w:tcPr>
            <w:tcW w:w="1000" w:type="dxa"/>
          </w:tcPr>
          <w:p>
            <w:pPr>
              <w:spacing w:line="440" w:lineRule="exact"/>
              <w:jc w:val="left"/>
              <w:rPr>
                <w:szCs w:val="21"/>
              </w:rPr>
            </w:pPr>
          </w:p>
        </w:tc>
      </w:tr>
    </w:tbl>
    <w:p>
      <w:pPr>
        <w:spacing w:line="440" w:lineRule="exact"/>
        <w:ind w:firstLine="720" w:firstLineChars="300"/>
        <w:rPr>
          <w:sz w:val="24"/>
        </w:rPr>
      </w:pPr>
    </w:p>
    <w:p>
      <w:pPr>
        <w:spacing w:line="440" w:lineRule="exact"/>
        <w:ind w:firstLine="720" w:firstLineChars="300"/>
        <w:rPr>
          <w:rFonts w:asciiTheme="minorEastAsia" w:hAnsiTheme="minorEastAsia"/>
          <w:sz w:val="28"/>
          <w:szCs w:val="28"/>
        </w:rPr>
      </w:pPr>
      <w:r>
        <w:rPr>
          <w:rFonts w:hint="eastAsia"/>
          <w:sz w:val="24"/>
        </w:rPr>
        <w:t>日期：            辅导员签字：             系负责人签字：</w:t>
      </w:r>
    </w:p>
    <w:p>
      <w:pPr>
        <w:tabs>
          <w:tab w:val="left" w:pos="2670"/>
          <w:tab w:val="center" w:pos="4535"/>
        </w:tabs>
        <w:spacing w:line="560" w:lineRule="exact"/>
        <w:jc w:val="center"/>
        <w:rPr>
          <w:rFonts w:ascii="宋体" w:hAnsi="宋体" w:eastAsia="宋体" w:cs="Times New Roman"/>
          <w:b/>
          <w:color w:val="000000" w:themeColor="text1"/>
          <w:sz w:val="44"/>
          <w:szCs w:val="44"/>
          <w14:textFill>
            <w14:solidFill>
              <w14:schemeClr w14:val="tx1"/>
            </w14:solidFill>
          </w14:textFill>
        </w:rPr>
      </w:pPr>
      <w:r>
        <w:rPr>
          <w:rFonts w:hint="eastAsia" w:ascii="宋体" w:hAnsi="宋体" w:eastAsia="宋体" w:cs="Times New Roman"/>
          <w:b/>
          <w:color w:val="000000" w:themeColor="text1"/>
          <w:sz w:val="44"/>
          <w:szCs w:val="44"/>
          <w14:textFill>
            <w14:solidFill>
              <w14:schemeClr w14:val="tx1"/>
            </w14:solidFill>
          </w14:textFill>
        </w:rPr>
        <w:t>承德应用技术职业学院</w:t>
      </w:r>
    </w:p>
    <w:p>
      <w:pPr>
        <w:tabs>
          <w:tab w:val="left" w:pos="2670"/>
          <w:tab w:val="center" w:pos="4535"/>
        </w:tabs>
        <w:spacing w:line="560" w:lineRule="exact"/>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cs="Times New Roman"/>
          <w:b/>
          <w:color w:val="000000" w:themeColor="text1"/>
          <w:sz w:val="44"/>
          <w:szCs w:val="44"/>
          <w14:textFill>
            <w14:solidFill>
              <w14:schemeClr w14:val="tx1"/>
            </w14:solidFill>
          </w14:textFill>
        </w:rPr>
        <w:t>学生操行评定细则（修订稿）</w:t>
      </w:r>
    </w:p>
    <w:p>
      <w:pPr>
        <w:spacing w:before="156" w:beforeLines="50" w:after="156" w:afterLines="50" w:line="48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第一章  总 则</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第一条 </w:t>
      </w:r>
      <w:r>
        <w:rPr>
          <w:rFonts w:hint="eastAsia" w:ascii="仿宋" w:hAnsi="仿宋" w:eastAsia="仿宋"/>
          <w:color w:val="000000" w:themeColor="text1"/>
          <w:sz w:val="32"/>
          <w:szCs w:val="32"/>
          <w14:textFill>
            <w14:solidFill>
              <w14:schemeClr w14:val="tx1"/>
            </w14:solidFill>
          </w14:textFill>
        </w:rPr>
        <w:t>操行评定以《高等学校学生行为准则》为标准，以学生</w:t>
      </w:r>
      <w:r>
        <w:rPr>
          <w:rFonts w:hint="eastAsia" w:ascii="仿宋" w:hAnsi="仿宋" w:eastAsia="仿宋" w:cs="仿宋"/>
          <w:color w:val="000000" w:themeColor="text1"/>
          <w:sz w:val="32"/>
          <w:szCs w:val="32"/>
          <w14:textFill>
            <w14:solidFill>
              <w14:schemeClr w14:val="tx1"/>
            </w14:solidFill>
          </w14:textFill>
        </w:rPr>
        <w:t>思想政治素质、品行修养、</w:t>
      </w:r>
      <w:r>
        <w:rPr>
          <w:rFonts w:hint="eastAsia" w:ascii="仿宋" w:hAnsi="仿宋" w:eastAsia="仿宋"/>
          <w:color w:val="000000" w:themeColor="text1"/>
          <w:sz w:val="32"/>
          <w:szCs w:val="32"/>
          <w14:textFill>
            <w14:solidFill>
              <w14:schemeClr w14:val="tx1"/>
            </w14:solidFill>
          </w14:textFill>
        </w:rPr>
        <w:t>平时日常表现为依据，定性与定量考核相结合进行评价考核。</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第二条 </w:t>
      </w:r>
      <w:r>
        <w:rPr>
          <w:rFonts w:hint="eastAsia" w:ascii="仿宋" w:hAnsi="仿宋" w:eastAsia="仿宋"/>
          <w:color w:val="000000" w:themeColor="text1"/>
          <w:sz w:val="32"/>
          <w:szCs w:val="32"/>
          <w14:textFill>
            <w14:solidFill>
              <w14:schemeClr w14:val="tx1"/>
            </w14:solidFill>
          </w14:textFill>
        </w:rPr>
        <w:t>学生在校期间三年操行总积分为</w:t>
      </w:r>
      <w:r>
        <w:rPr>
          <w:rFonts w:ascii="仿宋" w:hAnsi="仿宋" w:eastAsia="仿宋"/>
          <w:color w:val="000000" w:themeColor="text1"/>
          <w:sz w:val="32"/>
          <w:szCs w:val="32"/>
          <w14:textFill>
            <w14:solidFill>
              <w14:schemeClr w14:val="tx1"/>
            </w14:solidFill>
          </w14:textFill>
        </w:rPr>
        <w:t>600分，每学年200分，每学期100分，采取增减分的办法进行，一学期统计汇总一次。</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第三条 </w:t>
      </w:r>
      <w:r>
        <w:rPr>
          <w:rFonts w:hint="eastAsia" w:ascii="仿宋" w:hAnsi="仿宋" w:eastAsia="仿宋"/>
          <w:color w:val="000000" w:themeColor="text1"/>
          <w:sz w:val="32"/>
          <w:szCs w:val="32"/>
          <w14:textFill>
            <w14:solidFill>
              <w14:schemeClr w14:val="tx1"/>
            </w14:solidFill>
          </w14:textFill>
        </w:rPr>
        <w:t>学生操行评定为四级制：优秀、良好、合格、不合格。每学期学生操行积分总分在90分（含90分）以上者为优秀，总分在75分至89分者为“良好”，总分在60分至74分者为“合格”，总分在60分以下者为“不合格”。学生操行积分加分后最高不超过100分。</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对所有学生严重违纪和违法行为由学院根据校规校纪做出的处理的效力优于操行积分条例规定处理的效力。</w:t>
      </w:r>
    </w:p>
    <w:p>
      <w:pPr>
        <w:spacing w:before="156" w:beforeLines="50" w:after="156" w:afterLines="50" w:line="48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第二章  操行评定办法</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第五条 </w:t>
      </w:r>
      <w:r>
        <w:rPr>
          <w:rFonts w:hint="eastAsia" w:ascii="仿宋" w:hAnsi="仿宋" w:eastAsia="仿宋"/>
          <w:color w:val="000000" w:themeColor="text1"/>
          <w:sz w:val="32"/>
          <w:szCs w:val="32"/>
          <w14:textFill>
            <w14:solidFill>
              <w14:schemeClr w14:val="tx1"/>
            </w14:solidFill>
          </w14:textFill>
        </w:rPr>
        <w:t>操行评定操作办法</w:t>
      </w:r>
    </w:p>
    <w:p>
      <w:pPr>
        <w:widowControl/>
        <w:adjustRightInd w:val="0"/>
        <w:snapToGrid w:val="0"/>
        <w:spacing w:line="480" w:lineRule="exact"/>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操行评定在系党总支副书记主持下进行，每学期开学初由辅导员组织以班级为单位进行评定，包括班级代表评议、辅导员评定、平时操行积分等三方面。班级代表评议占总分10%，辅导员评分占30%，平时操行积分占60%.操行评定与综合素质测评同时进行,每学期开学前两周完成，毕业年级为离校前两周完成。</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2.班级代表评议。</w:t>
      </w:r>
      <w:r>
        <w:rPr>
          <w:rFonts w:hint="eastAsia" w:ascii="仿宋" w:hAnsi="仿宋" w:eastAsia="仿宋" w:cs="仿宋"/>
          <w:color w:val="000000" w:themeColor="text1"/>
          <w:sz w:val="32"/>
          <w:szCs w:val="32"/>
          <w14:textFill>
            <w14:solidFill>
              <w14:schemeClr w14:val="tx1"/>
            </w14:solidFill>
          </w14:textFill>
        </w:rPr>
        <w:t>班级成立学生操行评定小组，具体负责本班测评工作的实施。各班操行评定小组由十人组成，包括班长、团支书以及数名学生代表（原则上每宿舍有一名学生代表、非学生干部代表不少于两人）组成，学生代表的推选由班委会负责并报辅导员批准。学生操行评定小组由辅导员担任组长，为操行评定小组第一负责人，具体负责组织本班每名同学评定记录表的填写及有关资料的收集整理和存档工作。</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3.辅导员评定。辅导员每学期末要对学生的操行评定做出评定，做到公正、公开、公平。</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4.操行评定每学期一次，两学期平均成绩为该生学年成绩。</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5.班级代表评议、辅导员评定参照《高等学校学生行为准则》并结合学生</w:t>
      </w:r>
      <w:r>
        <w:rPr>
          <w:rFonts w:hint="eastAsia" w:ascii="仿宋" w:hAnsi="仿宋" w:eastAsia="仿宋" w:cs="仿宋"/>
          <w:color w:val="000000" w:themeColor="text1"/>
          <w:sz w:val="32"/>
          <w:szCs w:val="32"/>
          <w14:textFill>
            <w14:solidFill>
              <w14:schemeClr w14:val="tx1"/>
            </w14:solidFill>
          </w14:textFill>
        </w:rPr>
        <w:t>思想政治素质、品行修养、</w:t>
      </w:r>
      <w:r>
        <w:rPr>
          <w:rFonts w:hint="eastAsia" w:ascii="仿宋" w:hAnsi="仿宋" w:eastAsia="仿宋"/>
          <w:color w:val="000000" w:themeColor="text1"/>
          <w:sz w:val="32"/>
          <w:szCs w:val="32"/>
          <w14:textFill>
            <w14:solidFill>
              <w14:schemeClr w14:val="tx1"/>
            </w14:solidFill>
          </w14:textFill>
        </w:rPr>
        <w:t>平时日常表现情况进行打分。</w:t>
      </w:r>
    </w:p>
    <w:p>
      <w:pPr>
        <w:pStyle w:val="4"/>
        <w:spacing w:line="480" w:lineRule="exact"/>
        <w:ind w:firstLine="643"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第六条 评分标准</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班级测评小组及辅导员在全面了解学生的基础上，根据学生日常思想政治生活现实表现、品行修养等进行综合评价，评价标准如下：</w:t>
      </w:r>
    </w:p>
    <w:p>
      <w:pPr>
        <w:pStyle w:val="4"/>
        <w:spacing w:line="4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（一）思想政治素质</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1.树立坚定正确的政治方向，拥护中国共产党的领导和党的基本路线、方针、政策。坚持四项基本原则，坚决抵制和反对任何有损祖国尊严和荣誉及危害社会秩序的言行，思想上积极进步；</w:t>
      </w:r>
    </w:p>
    <w:p>
      <w:pPr>
        <w:pStyle w:val="4"/>
        <w:spacing w:line="480" w:lineRule="exact"/>
        <w:ind w:left="-359" w:leftChars="-171"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2.树立科学的世界观与正确的人生观、价值观和荣辱观，弘扬爱国主义、社会主义、集体主义精神；</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3.关心国家大事，明辨是非，具有坚定的政治立场；</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4.自觉加强政治修养，政治上积极追求进步，主动参加院、系组织的政治学习和活动；思想积极进取，能主动为广大同学服务；能积极组织各种学生活动，在同学口中有较好的口碑，具有一定的模范带头作用。</w:t>
      </w:r>
    </w:p>
    <w:p>
      <w:pPr>
        <w:pStyle w:val="4"/>
        <w:spacing w:line="4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（二）品行修养</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1.顾全大局，关心集体，能正确处理个人、社会与集体的关系；</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2.有积极的人生态度，学习勤奋刻苦，目标明确，奋发向上；</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3.注意提高个人品德修养，遵守社会公德，诚实守信，公道正派，严于律己，尊敬师长，团结同学；</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4.穿戴整洁大方，男女交往行为得体，举止文明谈吐文雅，不参与打架斗殴、酗酒、赌博、吸烟等不文明行为；</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5.有良好的卫生习惯，不随地吐痰、乱扔垃圾，珍惜公共财物和教学实训设备，保护公共设施，尊重他人劳动成果；</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6.遵守校规校纪，维护公共秩序，上课不迟到、不早退，不旷课，学习时间不从事非学习活动；</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7.遵守宿舍管理规定，按时归宿就寝，不影响他人正常学习和休息；不在宿舍做饭，不损毁和私自拆装宿舍设施；</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8.能积极参加有益身心的文体娱乐活动，不观看、传播不健康书刊或音像制品； </w:t>
      </w:r>
    </w:p>
    <w:p>
      <w:pPr>
        <w:pStyle w:val="4"/>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9.能积极参加义务支教、献爱心等社会公益活动，能积极参加院系及班级组织的集体活动。</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第七条 </w:t>
      </w:r>
      <w:r>
        <w:rPr>
          <w:rFonts w:hint="eastAsia" w:ascii="仿宋" w:hAnsi="仿宋" w:eastAsia="仿宋"/>
          <w:color w:val="000000" w:themeColor="text1"/>
          <w:sz w:val="32"/>
          <w:szCs w:val="32"/>
          <w14:textFill>
            <w14:solidFill>
              <w14:schemeClr w14:val="tx1"/>
            </w14:solidFill>
          </w14:textFill>
        </w:rPr>
        <w:t>操行积分加减分条件</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（一）减分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1.旷课（含自习）每节减2分，迟到、早退每次减1分； </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2.住宿生无故晚归每次减2分；在宿舍不按时休息或起床、大声喧哗者，每次减2分；收到学院宿舍整改通知单的宿舍，每位宿舍成员减</w:t>
      </w:r>
      <w:r>
        <w:rPr>
          <w:rFonts w:ascii="仿宋" w:hAnsi="仿宋" w:eastAsia="仿宋"/>
          <w:color w:val="000000" w:themeColor="text1"/>
          <w:sz w:val="32"/>
          <w:szCs w:val="32"/>
          <w14:textFill>
            <w14:solidFill>
              <w14:schemeClr w14:val="tx1"/>
            </w14:solidFill>
          </w14:textFill>
        </w:rPr>
        <w:t>1分/次</w:t>
      </w:r>
      <w:r>
        <w:rPr>
          <w:rFonts w:hint="eastAsia" w:ascii="仿宋" w:hAnsi="仿宋" w:eastAsia="仿宋"/>
          <w:color w:val="000000" w:themeColor="text1"/>
          <w:sz w:val="32"/>
          <w:szCs w:val="32"/>
          <w14:textFill>
            <w14:solidFill>
              <w14:schemeClr w14:val="tx1"/>
            </w14:solidFill>
          </w14:textFill>
        </w:rPr>
        <w:t>；宿舍内乱接电源、使用电热器具、烧酒精炉、煤油炉每人次减5分；学生未在规定宿舍、床位就寝，减2分；未经批准留宿他人，每次减5分；宿舍内饲养宠物，减3分；违反清宿管理规定，每次减1分；发现宿舍吸烟者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3.对教师和领导不文明、不礼貌，减2分；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4.院系要求参加的会议及活动，无故不参加每次减2分，迟到者1分/次，不服从集体统一管理者减2分；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5.学生在校期间和集体外出时，参加升国旗仪式等重大活动时不按要求统一着装，减2分；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6.扰乱进餐秩序，又不听劝告者每人次减1分；对值勤人员或服务人员无理取闹造成影响的，每人次减2分；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7.故意损坏公物除赔偿外，未构成处分的减2分；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8.翻墙、翻窗未构成处分的减3分；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9.未经允许在学院经商、做商业宣传每次减2分；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10.未经批准，超假或者逾假不归者，每人次减5分，寒暑假、国家法定假日及其他放假后，非特殊原因不按时返校者减2分；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11.在校园内禁烟场所吸烟的每次减3分；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12.造谣及传播虚假信息，减2分，造成不良后果给予纪律处分。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13.无故不完成教室卫生值日任务的，每次减</w:t>
      </w:r>
      <w:r>
        <w:rPr>
          <w:rFonts w:ascii="仿宋" w:hAnsi="仿宋" w:eastAsia="仿宋"/>
          <w:color w:val="000000" w:themeColor="text1"/>
          <w:sz w:val="32"/>
          <w:szCs w:val="32"/>
          <w14:textFill>
            <w14:solidFill>
              <w14:schemeClr w14:val="tx1"/>
            </w14:solidFill>
          </w14:textFill>
        </w:rPr>
        <w:t>1分；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14.在各类评比、竞赛、信息统计、求职择业中使用虚假信息材料，对学院、系部声誉造成不良影响者减3分。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15.参与打架斗殴、酗酒等违纪行为，未达到纪律处分的，减5分。</w:t>
      </w:r>
    </w:p>
    <w:p>
      <w:pPr>
        <w:widowControl/>
        <w:adjustRightInd w:val="0"/>
        <w:snapToGrid w:val="0"/>
        <w:spacing w:line="480" w:lineRule="exact"/>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（二）加分</w:t>
      </w:r>
    </w:p>
    <w:p>
      <w:pPr>
        <w:widowControl/>
        <w:adjustRightInd w:val="0"/>
        <w:snapToGrid w:val="0"/>
        <w:spacing w:line="48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1.在一日生活学习常规管理中受到学院通报表扬每次加2分，系部通报表扬每次加1分；宿舍每周累计通报表扬</w:t>
      </w:r>
    </w:p>
    <w:p>
      <w:pPr>
        <w:widowControl/>
        <w:adjustRightInd w:val="0"/>
        <w:snapToGrid w:val="0"/>
        <w:spacing w:line="48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3次以上者，宿舍成员每次加0.3分。</w:t>
      </w:r>
    </w:p>
    <w:p>
      <w:pPr>
        <w:widowControl/>
        <w:adjustRightInd w:val="0"/>
        <w:snapToGrid w:val="0"/>
        <w:spacing w:line="48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对班级和校园内不良行为敢于揭发、检举者视情况加2分；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3．及时发现班级、系部、学院学生管理方面安全隐患并及时报告，加2分；</w:t>
      </w:r>
    </w:p>
    <w:p>
      <w:pPr>
        <w:widowControl/>
        <w:adjustRightInd w:val="0"/>
        <w:snapToGrid w:val="0"/>
        <w:spacing w:line="48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 xml:space="preserve"> 拾金不昧等每次加2分；</w:t>
      </w:r>
      <w:r>
        <w:rPr>
          <w:rFonts w:hint="eastAsia" w:ascii="仿宋" w:hAnsi="仿宋" w:eastAsia="仿宋"/>
          <w:color w:val="000000" w:themeColor="text1"/>
          <w:sz w:val="32"/>
          <w:szCs w:val="32"/>
          <w14:textFill>
            <w14:solidFill>
              <w14:schemeClr w14:val="tx1"/>
            </w14:solidFill>
          </w14:textFill>
        </w:rPr>
        <w:t>见义勇为受到表扬的加2分；</w:t>
      </w:r>
    </w:p>
    <w:p>
      <w:pPr>
        <w:widowControl/>
        <w:adjustRightInd w:val="0"/>
        <w:snapToGrid w:val="0"/>
        <w:spacing w:line="48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5.其他由学院、系部认定为可以加分的。</w:t>
      </w:r>
    </w:p>
    <w:p>
      <w:pPr>
        <w:widowControl/>
        <w:adjustRightInd w:val="0"/>
        <w:snapToGrid w:val="0"/>
        <w:spacing w:before="240"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第八条</w:t>
      </w:r>
      <w:r>
        <w:rPr>
          <w:rFonts w:ascii="仿宋" w:hAnsi="仿宋" w:eastAsia="仿宋"/>
          <w:color w:val="000000" w:themeColor="text1"/>
          <w:sz w:val="32"/>
          <w:szCs w:val="32"/>
          <w14:textFill>
            <w14:solidFill>
              <w14:schemeClr w14:val="tx1"/>
            </w14:solidFill>
          </w14:textFill>
        </w:rPr>
        <w:t xml:space="preserve"> 如出现以上未规定之</w:t>
      </w:r>
      <w:r>
        <w:rPr>
          <w:rFonts w:hint="eastAsia" w:ascii="仿宋" w:hAnsi="仿宋" w:eastAsia="仿宋"/>
          <w:color w:val="000000" w:themeColor="text1"/>
          <w:sz w:val="32"/>
          <w:szCs w:val="32"/>
          <w14:textFill>
            <w14:solidFill>
              <w14:schemeClr w14:val="tx1"/>
            </w14:solidFill>
          </w14:textFill>
        </w:rPr>
        <w:t>行为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凡违反《学生手册》管理规定者，</w:t>
      </w:r>
      <w:r>
        <w:rPr>
          <w:rFonts w:ascii="仿宋" w:hAnsi="仿宋" w:eastAsia="仿宋"/>
          <w:color w:val="000000" w:themeColor="text1"/>
          <w:sz w:val="32"/>
          <w:szCs w:val="32"/>
          <w14:textFill>
            <w14:solidFill>
              <w14:schemeClr w14:val="tx1"/>
            </w14:solidFill>
          </w14:textFill>
        </w:rPr>
        <w:t>其增减分值</w:t>
      </w:r>
      <w:r>
        <w:rPr>
          <w:rFonts w:hint="eastAsia" w:ascii="仿宋" w:hAnsi="仿宋" w:eastAsia="仿宋"/>
          <w:color w:val="000000" w:themeColor="text1"/>
          <w:sz w:val="32"/>
          <w:szCs w:val="32"/>
          <w14:textFill>
            <w14:solidFill>
              <w14:schemeClr w14:val="tx1"/>
            </w14:solidFill>
          </w14:textFill>
        </w:rPr>
        <w:t>经学工部门认定</w:t>
      </w:r>
      <w:r>
        <w:rPr>
          <w:rFonts w:ascii="仿宋" w:hAnsi="仿宋" w:eastAsia="仿宋"/>
          <w:color w:val="000000" w:themeColor="text1"/>
          <w:sz w:val="32"/>
          <w:szCs w:val="32"/>
          <w14:textFill>
            <w14:solidFill>
              <w14:schemeClr w14:val="tx1"/>
            </w14:solidFill>
          </w14:textFill>
        </w:rPr>
        <w:t>可参照相类似条款执行</w:t>
      </w:r>
      <w:r>
        <w:rPr>
          <w:rFonts w:hint="eastAsia" w:ascii="仿宋" w:hAnsi="仿宋" w:eastAsia="仿宋"/>
          <w:color w:val="000000" w:themeColor="text1"/>
          <w:sz w:val="32"/>
          <w:szCs w:val="32"/>
          <w14:textFill>
            <w14:solidFill>
              <w14:schemeClr w14:val="tx1"/>
            </w14:solidFill>
          </w14:textFill>
        </w:rPr>
        <w:t>，除酌情减分外，按相关处理办法给予纪律处分；凡违反法律法规的行为，移交司法机关处理。</w:t>
      </w:r>
      <w:r>
        <w:rPr>
          <w:rFonts w:ascii="仿宋" w:hAnsi="仿宋" w:eastAsia="仿宋"/>
          <w:color w:val="000000" w:themeColor="text1"/>
          <w:sz w:val="32"/>
          <w:szCs w:val="32"/>
          <w14:textFill>
            <w14:solidFill>
              <w14:schemeClr w14:val="tx1"/>
            </w14:solidFill>
          </w14:textFill>
        </w:rPr>
        <w:t xml:space="preserve">   </w:t>
      </w:r>
    </w:p>
    <w:p>
      <w:pPr>
        <w:spacing w:before="156" w:beforeLines="50" w:after="156" w:afterLines="50" w:line="48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第三章  操行评定的使用</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第九条 </w:t>
      </w:r>
      <w:r>
        <w:rPr>
          <w:rFonts w:hint="eastAsia" w:ascii="仿宋" w:hAnsi="仿宋" w:eastAsia="仿宋"/>
          <w:color w:val="000000" w:themeColor="text1"/>
          <w:sz w:val="32"/>
          <w:szCs w:val="32"/>
          <w14:textFill>
            <w14:solidFill>
              <w14:schemeClr w14:val="tx1"/>
            </w14:solidFill>
          </w14:textFill>
        </w:rPr>
        <w:t>学生操行评定作为学生入党、入团、奖助学金评审等重要依据，并作为评优选先及毕业就业推荐的基本条件。</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第十条 </w:t>
      </w:r>
      <w:r>
        <w:rPr>
          <w:rFonts w:hint="eastAsia" w:ascii="仿宋" w:hAnsi="仿宋" w:eastAsia="仿宋"/>
          <w:color w:val="000000" w:themeColor="text1"/>
          <w:sz w:val="32"/>
          <w:szCs w:val="32"/>
          <w14:textFill>
            <w14:solidFill>
              <w14:schemeClr w14:val="tx1"/>
            </w14:solidFill>
          </w14:textFill>
        </w:rPr>
        <w:t>系部辅导员要建立学生操行评定档案，记录学生在校日常表现。学生在校操行评定成绩计入学生档案。</w:t>
      </w:r>
    </w:p>
    <w:p>
      <w:pPr>
        <w:widowControl/>
        <w:adjustRightInd w:val="0"/>
        <w:snapToGrid w:val="0"/>
        <w:spacing w:line="48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第十一条 </w:t>
      </w:r>
      <w:r>
        <w:rPr>
          <w:rFonts w:hint="eastAsia" w:ascii="仿宋" w:hAnsi="仿宋" w:eastAsia="仿宋"/>
          <w:color w:val="000000" w:themeColor="text1"/>
          <w:sz w:val="32"/>
          <w:szCs w:val="32"/>
          <w14:textFill>
            <w14:solidFill>
              <w14:schemeClr w14:val="tx1"/>
            </w14:solidFill>
          </w14:textFill>
        </w:rPr>
        <w:t>学生操行积分在班级每月公布一次，减分达10分的辅导员要找学生谈话，减分达20分的辅导员要告知家长，减分达30分的由辅导员或系部领导约谈家长。学生操行成绩连续不合格且没有向好表现的，或者违纪情况较为严重的，视具体情况给以延期毕业。</w:t>
      </w:r>
    </w:p>
    <w:p>
      <w:pPr>
        <w:spacing w:before="156" w:beforeLines="50" w:after="156" w:afterLines="50" w:line="480" w:lineRule="exact"/>
        <w:jc w:val="center"/>
        <w:outlineLvl w:val="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第四章  附则</w:t>
      </w:r>
    </w:p>
    <w:p>
      <w:pPr>
        <w:adjustRightInd w:val="0"/>
        <w:snapToGrid w:val="0"/>
        <w:spacing w:line="480" w:lineRule="exact"/>
        <w:ind w:left="-357" w:right="-328"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第十二条 </w:t>
      </w:r>
      <w:r>
        <w:rPr>
          <w:rFonts w:ascii="仿宋" w:hAnsi="仿宋" w:eastAsia="仿宋"/>
          <w:color w:val="000000" w:themeColor="text1"/>
          <w:sz w:val="32"/>
          <w:szCs w:val="32"/>
          <w14:textFill>
            <w14:solidFill>
              <w14:schemeClr w14:val="tx1"/>
            </w14:solidFill>
          </w14:textFill>
        </w:rPr>
        <w:t>本办法由学生</w:t>
      </w:r>
      <w:r>
        <w:rPr>
          <w:rFonts w:hint="eastAsia" w:ascii="仿宋" w:hAnsi="仿宋" w:eastAsia="仿宋"/>
          <w:color w:val="000000" w:themeColor="text1"/>
          <w:sz w:val="32"/>
          <w:szCs w:val="32"/>
          <w14:textFill>
            <w14:solidFill>
              <w14:schemeClr w14:val="tx1"/>
            </w14:solidFill>
          </w14:textFill>
        </w:rPr>
        <w:t>工作</w:t>
      </w:r>
      <w:r>
        <w:rPr>
          <w:rFonts w:ascii="仿宋" w:hAnsi="仿宋" w:eastAsia="仿宋"/>
          <w:color w:val="000000" w:themeColor="text1"/>
          <w:sz w:val="32"/>
          <w:szCs w:val="32"/>
          <w14:textFill>
            <w14:solidFill>
              <w14:schemeClr w14:val="tx1"/>
            </w14:solidFill>
          </w14:textFill>
        </w:rPr>
        <w:t>处负责解释。</w:t>
      </w:r>
    </w:p>
    <w:p>
      <w:pPr>
        <w:adjustRightInd w:val="0"/>
        <w:snapToGrid w:val="0"/>
        <w:spacing w:line="480" w:lineRule="exact"/>
        <w:ind w:left="-357" w:right="-328" w:firstLine="643"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第十</w:t>
      </w:r>
      <w:r>
        <w:rPr>
          <w:rFonts w:hint="eastAsia" w:ascii="仿宋" w:hAnsi="仿宋" w:eastAsia="仿宋"/>
          <w:b/>
          <w:color w:val="000000" w:themeColor="text1"/>
          <w:sz w:val="32"/>
          <w:szCs w:val="32"/>
          <w14:textFill>
            <w14:solidFill>
              <w14:schemeClr w14:val="tx1"/>
            </w14:solidFill>
          </w14:textFill>
        </w:rPr>
        <w:t>三</w:t>
      </w:r>
      <w:r>
        <w:rPr>
          <w:rFonts w:ascii="仿宋" w:hAnsi="仿宋" w:eastAsia="仿宋"/>
          <w:b/>
          <w:color w:val="000000" w:themeColor="text1"/>
          <w:sz w:val="32"/>
          <w:szCs w:val="32"/>
          <w14:textFill>
            <w14:solidFill>
              <w14:schemeClr w14:val="tx1"/>
            </w14:solidFill>
          </w14:textFill>
        </w:rPr>
        <w:t>条</w:t>
      </w:r>
      <w:r>
        <w:rPr>
          <w:rFonts w:hint="eastAsia" w:ascii="仿宋" w:hAnsi="仿宋" w:eastAsia="仿宋"/>
          <w:b/>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本办法自发布之日起施行。</w:t>
      </w:r>
    </w:p>
    <w:p/>
    <w:sectPr>
      <w:footerReference r:id="rId7" w:type="first"/>
      <w:footerReference r:id="rId6" w:type="default"/>
      <w:pgSz w:w="11906" w:h="16838"/>
      <w:pgMar w:top="1440" w:right="1800" w:bottom="1440" w:left="1800" w:header="851" w:footer="992" w:gutter="0"/>
      <w:pgNumType w:fmt="numberInDash"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722963"/>
      <w:docPartObj>
        <w:docPartGallery w:val="autotext"/>
      </w:docPartObj>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960"/>
      </w:tabs>
    </w:pPr>
    <w:r>
      <w:tab/>
    </w:r>
    <w:r>
      <w:tab/>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032646"/>
      <w:docPartObj>
        <w:docPartGallery w:val="autotext"/>
      </w:docPartObj>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157752"/>
      <w:docPartObj>
        <w:docPartGallery w:val="autotext"/>
      </w:docPartObj>
    </w:sdtPr>
    <w:sdtContent>
      <w:p>
        <w:pPr>
          <w:pStyle w:val="5"/>
          <w:jc w:val="center"/>
        </w:pPr>
        <w:r>
          <w:fldChar w:fldCharType="begin"/>
        </w:r>
        <w:r>
          <w:instrText xml:space="preserve">PAGE   \* MERGEFORMAT</w:instrText>
        </w:r>
        <w:r>
          <w:fldChar w:fldCharType="separate"/>
        </w:r>
        <w:r>
          <w:rPr>
            <w:rFonts w:ascii="宋体" w:hAnsi="宋体" w:eastAsia="宋体"/>
            <w:sz w:val="28"/>
            <w:szCs w:val="28"/>
            <w:lang w:val="zh-CN"/>
          </w:rPr>
          <w:t>-</w:t>
        </w:r>
        <w:r>
          <w:rPr>
            <w:rFonts w:ascii="宋体" w:hAnsi="宋体" w:eastAsia="宋体"/>
            <w:sz w:val="28"/>
            <w:szCs w:val="28"/>
          </w:rPr>
          <w:t xml:space="preserve"> 18 -</w:t>
        </w:r>
        <w: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960"/>
      </w:tabs>
      <w:rPr>
        <w:rFonts w:ascii="宋体" w:hAnsi="宋体" w:eastAsia="宋体"/>
        <w:sz w:val="28"/>
        <w:szCs w:val="28"/>
      </w:rPr>
    </w:pPr>
    <w:r>
      <w:tab/>
    </w:r>
    <w:r>
      <w:tab/>
    </w:r>
    <w:r>
      <w:rPr>
        <w:rFonts w:hint="eastAsia" w:ascii="宋体" w:hAnsi="宋体" w:eastAsia="宋体"/>
        <w:sz w:val="28"/>
        <w:szCs w:val="28"/>
      </w:rPr>
      <w:t>-18-</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E6C5B"/>
    <w:multiLevelType w:val="singleLevel"/>
    <w:tmpl w:val="475E6C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2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rFonts w:ascii="Times New Roman" w:hAnsi="Times New Roman" w:eastAsia="宋体" w:cs="Times New Roman"/>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rPr>
      <w:rFonts w:ascii="Times New Roman" w:hAnsi="Times New Roman" w:eastAsia="宋体" w:cs="Times New Roman"/>
      <w:szCs w:val="20"/>
    </w:rPr>
  </w:style>
  <w:style w:type="paragraph" w:styleId="4">
    <w:name w:val="Plain Text"/>
    <w:basedOn w:val="1"/>
    <w:qFormat/>
    <w:uiPriority w:val="0"/>
    <w:rPr>
      <w:rFonts w:ascii="宋体" w:hAnsi="Courier New" w:eastAsia="宋体"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8">
    <w:name w:val="No Spacing"/>
    <w:qFormat/>
    <w:uiPriority w:val="1"/>
    <w:pPr>
      <w:widowControl w:val="0"/>
      <w:jc w:val="both"/>
    </w:pPr>
    <w:rPr>
      <w:rFonts w:ascii="宋体" w:hAnsi="宋体" w:eastAsia="宋体" w:cs="宋体"/>
      <w:color w:val="555555"/>
      <w:kern w:val="0"/>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2021-05-17T01:30:12Z</dcterms:created>
  <dc:creator>Administrator</dc:creator>
  <cp:lastModifiedBy>朱亚涛</cp:lastModifiedBy>
  <dcterms:modified xsi:type="dcterms:W3CDTF">2021-05-17T01:30:34Z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623994E1D53841E397C66F8227CB74F7</vt:lpwstr>
  </property>
</Properties>
</file>