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b/>
          <w:bCs/>
          <w:sz w:val="44"/>
          <w:szCs w:val="44"/>
        </w:rPr>
      </w:pPr>
    </w:p>
    <w:p>
      <w:pPr>
        <w:pStyle w:val="3"/>
        <w:adjustRightInd w:val="0"/>
        <w:snapToGrid w:val="0"/>
        <w:spacing w:before="0" w:beforeAutospacing="0" w:after="0" w:afterAutospacing="0" w:line="560" w:lineRule="exact"/>
        <w:jc w:val="center"/>
        <w:rPr>
          <w:rFonts w:asciiTheme="majorEastAsia" w:hAnsiTheme="majorEastAsia" w:eastAsiaTheme="majorEastAsia"/>
          <w:b/>
          <w:sz w:val="44"/>
          <w:szCs w:val="44"/>
        </w:rPr>
      </w:pPr>
      <w:bookmarkStart w:id="0" w:name="_GoBack"/>
      <w:bookmarkEnd w:id="0"/>
      <w:r>
        <w:rPr>
          <w:rFonts w:asciiTheme="majorEastAsia" w:hAnsiTheme="majorEastAsia" w:eastAsiaTheme="majorEastAsia"/>
          <w:b/>
          <w:sz w:val="44"/>
          <w:szCs w:val="44"/>
        </w:rPr>
        <w:t>承德应用技术职业学院</w:t>
      </w:r>
    </w:p>
    <w:p>
      <w:pPr>
        <w:pStyle w:val="3"/>
        <w:adjustRightInd w:val="0"/>
        <w:snapToGrid w:val="0"/>
        <w:spacing w:before="0" w:beforeAutospacing="0" w:after="0" w:afterAutospacing="0" w:line="560" w:lineRule="exact"/>
        <w:jc w:val="center"/>
        <w:rPr>
          <w:rFonts w:ascii="仿宋" w:hAnsi="仿宋" w:eastAsia="仿宋"/>
          <w:sz w:val="32"/>
          <w:szCs w:val="32"/>
        </w:rPr>
      </w:pPr>
      <w:r>
        <w:rPr>
          <w:rFonts w:asciiTheme="majorEastAsia" w:hAnsiTheme="majorEastAsia" w:eastAsiaTheme="majorEastAsia"/>
          <w:b/>
          <w:sz w:val="44"/>
          <w:szCs w:val="44"/>
        </w:rPr>
        <w:t>202</w:t>
      </w:r>
      <w:r>
        <w:rPr>
          <w:rFonts w:hint="eastAsia" w:asciiTheme="majorEastAsia" w:hAnsiTheme="majorEastAsia" w:eastAsiaTheme="majorEastAsia"/>
          <w:b/>
          <w:sz w:val="44"/>
          <w:szCs w:val="44"/>
        </w:rPr>
        <w:t>1</w:t>
      </w:r>
      <w:r>
        <w:rPr>
          <w:rFonts w:asciiTheme="majorEastAsia" w:hAnsiTheme="majorEastAsia" w:eastAsiaTheme="majorEastAsia"/>
          <w:b/>
          <w:sz w:val="44"/>
          <w:szCs w:val="44"/>
        </w:rPr>
        <w:t>年征兵工作实施方案</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根据冀</w:t>
      </w:r>
      <w:r>
        <w:rPr>
          <w:rFonts w:hint="eastAsia" w:ascii="仿宋" w:hAnsi="仿宋" w:eastAsia="仿宋"/>
          <w:sz w:val="32"/>
          <w:szCs w:val="32"/>
        </w:rPr>
        <w:t>征</w:t>
      </w: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号《关于做好2020年河北省高校</w:t>
      </w:r>
      <w:r>
        <w:rPr>
          <w:rFonts w:hint="eastAsia" w:ascii="仿宋" w:hAnsi="仿宋" w:eastAsia="仿宋"/>
          <w:sz w:val="32"/>
          <w:szCs w:val="32"/>
        </w:rPr>
        <w:t>征兵</w:t>
      </w:r>
      <w:r>
        <w:rPr>
          <w:rFonts w:ascii="仿宋" w:hAnsi="仿宋" w:eastAsia="仿宋"/>
          <w:sz w:val="32"/>
          <w:szCs w:val="32"/>
        </w:rPr>
        <w:t>工作的通知》</w:t>
      </w:r>
      <w:r>
        <w:rPr>
          <w:rFonts w:hint="eastAsia" w:ascii="仿宋" w:hAnsi="仿宋" w:eastAsia="仿宋"/>
          <w:sz w:val="32"/>
          <w:szCs w:val="32"/>
        </w:rPr>
        <w:t>要求，</w:t>
      </w:r>
      <w:r>
        <w:rPr>
          <w:rFonts w:ascii="仿宋" w:hAnsi="仿宋" w:eastAsia="仿宋"/>
          <w:sz w:val="32"/>
          <w:szCs w:val="32"/>
        </w:rPr>
        <w:t>结合我</w:t>
      </w:r>
      <w:r>
        <w:rPr>
          <w:rFonts w:hint="eastAsia" w:ascii="仿宋" w:hAnsi="仿宋" w:eastAsia="仿宋"/>
          <w:sz w:val="32"/>
          <w:szCs w:val="32"/>
        </w:rPr>
        <w:t>院</w:t>
      </w:r>
      <w:r>
        <w:rPr>
          <w:rFonts w:ascii="仿宋" w:hAnsi="仿宋" w:eastAsia="仿宋"/>
          <w:sz w:val="32"/>
          <w:szCs w:val="32"/>
        </w:rPr>
        <w:t>实际，制定</w:t>
      </w:r>
      <w:r>
        <w:rPr>
          <w:rFonts w:hint="eastAsia" w:ascii="仿宋" w:hAnsi="仿宋" w:eastAsia="仿宋"/>
          <w:sz w:val="32"/>
          <w:szCs w:val="32"/>
        </w:rPr>
        <w:t>承德应用技术职业学院2021年征兵工作</w:t>
      </w:r>
      <w:r>
        <w:rPr>
          <w:rFonts w:ascii="仿宋" w:hAnsi="仿宋" w:eastAsia="仿宋"/>
          <w:sz w:val="32"/>
          <w:szCs w:val="32"/>
        </w:rPr>
        <w:t>实施方案。</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一、健全组织机构</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（一）</w:t>
      </w:r>
      <w:r>
        <w:rPr>
          <w:rFonts w:ascii="仿宋" w:hAnsi="仿宋" w:eastAsia="仿宋"/>
          <w:bCs/>
          <w:sz w:val="32"/>
          <w:szCs w:val="32"/>
        </w:rPr>
        <w:t>按照党管武装的原则，学校成立由</w:t>
      </w:r>
      <w:r>
        <w:rPr>
          <w:rFonts w:hint="eastAsia" w:ascii="仿宋" w:hAnsi="仿宋" w:eastAsia="仿宋"/>
          <w:bCs/>
          <w:sz w:val="32"/>
          <w:szCs w:val="32"/>
        </w:rPr>
        <w:t>院</w:t>
      </w:r>
      <w:r>
        <w:rPr>
          <w:rFonts w:ascii="仿宋" w:hAnsi="仿宋" w:eastAsia="仿宋"/>
          <w:bCs/>
          <w:sz w:val="32"/>
          <w:szCs w:val="32"/>
        </w:rPr>
        <w:t>党委书记、</w:t>
      </w:r>
      <w:r>
        <w:rPr>
          <w:rFonts w:hint="eastAsia" w:ascii="仿宋" w:hAnsi="仿宋" w:eastAsia="仿宋"/>
          <w:bCs/>
          <w:sz w:val="32"/>
          <w:szCs w:val="32"/>
        </w:rPr>
        <w:t>院</w:t>
      </w:r>
      <w:r>
        <w:rPr>
          <w:rFonts w:ascii="仿宋" w:hAnsi="仿宋" w:eastAsia="仿宋"/>
          <w:bCs/>
          <w:sz w:val="32"/>
          <w:szCs w:val="32"/>
        </w:rPr>
        <w:t>长担任组长，</w:t>
      </w:r>
      <w:r>
        <w:rPr>
          <w:rFonts w:hint="eastAsia" w:ascii="仿宋" w:hAnsi="仿宋" w:eastAsia="仿宋"/>
          <w:bCs/>
          <w:sz w:val="32"/>
          <w:szCs w:val="32"/>
        </w:rPr>
        <w:t>主管学生工作的</w:t>
      </w:r>
      <w:r>
        <w:rPr>
          <w:rFonts w:ascii="仿宋" w:hAnsi="仿宋" w:eastAsia="仿宋"/>
          <w:bCs/>
          <w:sz w:val="32"/>
          <w:szCs w:val="32"/>
        </w:rPr>
        <w:t>副</w:t>
      </w:r>
      <w:r>
        <w:rPr>
          <w:rFonts w:hint="eastAsia" w:ascii="仿宋" w:hAnsi="仿宋" w:eastAsia="仿宋"/>
          <w:bCs/>
          <w:sz w:val="32"/>
          <w:szCs w:val="32"/>
        </w:rPr>
        <w:t>院</w:t>
      </w:r>
      <w:r>
        <w:rPr>
          <w:rFonts w:ascii="仿宋" w:hAnsi="仿宋" w:eastAsia="仿宋"/>
          <w:bCs/>
          <w:sz w:val="32"/>
          <w:szCs w:val="32"/>
        </w:rPr>
        <w:t>长为常务副组长，其他</w:t>
      </w:r>
      <w:r>
        <w:rPr>
          <w:rFonts w:hint="eastAsia" w:ascii="仿宋" w:hAnsi="仿宋" w:eastAsia="仿宋"/>
          <w:bCs/>
          <w:sz w:val="32"/>
          <w:szCs w:val="32"/>
        </w:rPr>
        <w:t>院</w:t>
      </w:r>
      <w:r>
        <w:rPr>
          <w:rFonts w:ascii="仿宋" w:hAnsi="仿宋" w:eastAsia="仿宋"/>
          <w:bCs/>
          <w:sz w:val="32"/>
          <w:szCs w:val="32"/>
        </w:rPr>
        <w:t>领导为副组长的学院征兵工作领导组，组员由学校党政办公室、学生</w:t>
      </w:r>
      <w:r>
        <w:rPr>
          <w:rFonts w:hint="eastAsia" w:ascii="仿宋" w:hAnsi="仿宋" w:eastAsia="仿宋"/>
          <w:bCs/>
          <w:sz w:val="32"/>
          <w:szCs w:val="32"/>
        </w:rPr>
        <w:t>工作</w:t>
      </w:r>
      <w:r>
        <w:rPr>
          <w:rFonts w:ascii="仿宋" w:hAnsi="仿宋" w:eastAsia="仿宋"/>
          <w:bCs/>
          <w:sz w:val="32"/>
          <w:szCs w:val="32"/>
        </w:rPr>
        <w:t>处</w:t>
      </w:r>
      <w:r>
        <w:rPr>
          <w:rFonts w:hint="eastAsia" w:ascii="仿宋" w:hAnsi="仿宋" w:eastAsia="仿宋"/>
          <w:bCs/>
          <w:sz w:val="32"/>
          <w:szCs w:val="32"/>
        </w:rPr>
        <w:t>(</w:t>
      </w:r>
      <w:r>
        <w:rPr>
          <w:rFonts w:ascii="仿宋" w:hAnsi="仿宋" w:eastAsia="仿宋"/>
          <w:bCs/>
          <w:sz w:val="32"/>
          <w:szCs w:val="32"/>
        </w:rPr>
        <w:t>团委</w:t>
      </w:r>
      <w:r>
        <w:rPr>
          <w:rFonts w:hint="eastAsia" w:ascii="仿宋" w:hAnsi="仿宋" w:eastAsia="仿宋"/>
          <w:bCs/>
          <w:sz w:val="32"/>
          <w:szCs w:val="32"/>
        </w:rPr>
        <w:t>)</w:t>
      </w:r>
      <w:r>
        <w:rPr>
          <w:rFonts w:ascii="仿宋" w:hAnsi="仿宋" w:eastAsia="仿宋"/>
          <w:bCs/>
          <w:sz w:val="32"/>
          <w:szCs w:val="32"/>
        </w:rPr>
        <w:t>、</w:t>
      </w:r>
      <w:r>
        <w:rPr>
          <w:rFonts w:hint="eastAsia" w:ascii="仿宋" w:hAnsi="仿宋" w:eastAsia="仿宋"/>
          <w:bCs/>
          <w:sz w:val="32"/>
          <w:szCs w:val="32"/>
        </w:rPr>
        <w:t>教务处、</w:t>
      </w:r>
      <w:r>
        <w:rPr>
          <w:rFonts w:ascii="仿宋" w:hAnsi="仿宋" w:eastAsia="仿宋"/>
          <w:bCs/>
          <w:sz w:val="32"/>
          <w:szCs w:val="32"/>
        </w:rPr>
        <w:t>财务处、</w:t>
      </w:r>
      <w:r>
        <w:rPr>
          <w:rFonts w:hint="eastAsia" w:ascii="仿宋" w:hAnsi="仿宋" w:eastAsia="仿宋"/>
          <w:bCs/>
          <w:sz w:val="32"/>
          <w:szCs w:val="32"/>
        </w:rPr>
        <w:t>党群工作处和各系</w:t>
      </w:r>
      <w:r>
        <w:rPr>
          <w:rFonts w:ascii="仿宋" w:hAnsi="仿宋" w:eastAsia="仿宋"/>
          <w:bCs/>
          <w:sz w:val="32"/>
          <w:szCs w:val="32"/>
        </w:rPr>
        <w:t>负责人组成。</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征兵工作领导组下设征兵工作办公室</w:t>
      </w:r>
      <w:r>
        <w:rPr>
          <w:rFonts w:hint="eastAsia" w:ascii="仿宋" w:hAnsi="仿宋" w:eastAsia="仿宋"/>
          <w:bCs/>
          <w:sz w:val="32"/>
          <w:szCs w:val="32"/>
        </w:rPr>
        <w:t>，设在学工处（团委），</w:t>
      </w:r>
      <w:r>
        <w:rPr>
          <w:rFonts w:ascii="仿宋" w:hAnsi="仿宋" w:eastAsia="仿宋"/>
          <w:bCs/>
          <w:sz w:val="32"/>
          <w:szCs w:val="32"/>
        </w:rPr>
        <w:t>具体负责学生应征入伍宣传、报名、体检、政审、直招士官专业审定、审批定兵、教育管理、复查起运、回访及协调相关部门做好学费补偿、学籍保留、优抚等工作</w:t>
      </w:r>
      <w:r>
        <w:rPr>
          <w:rFonts w:hint="eastAsia" w:ascii="仿宋" w:hAnsi="仿宋" w:eastAsia="仿宋"/>
          <w:bCs/>
          <w:sz w:val="32"/>
          <w:szCs w:val="32"/>
        </w:rPr>
        <w:t>。</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bCs/>
          <w:sz w:val="32"/>
          <w:szCs w:val="32"/>
        </w:rPr>
        <w:t>（三）</w:t>
      </w:r>
      <w:r>
        <w:rPr>
          <w:rFonts w:ascii="仿宋" w:hAnsi="仿宋" w:eastAsia="仿宋"/>
          <w:bCs/>
          <w:sz w:val="32"/>
          <w:szCs w:val="32"/>
        </w:rPr>
        <w:t>各系成立征兵工作</w:t>
      </w:r>
      <w:r>
        <w:rPr>
          <w:rFonts w:hint="eastAsia" w:ascii="仿宋" w:hAnsi="仿宋" w:eastAsia="仿宋"/>
          <w:bCs/>
          <w:sz w:val="32"/>
          <w:szCs w:val="32"/>
        </w:rPr>
        <w:t>小</w:t>
      </w:r>
      <w:r>
        <w:rPr>
          <w:rFonts w:ascii="仿宋" w:hAnsi="仿宋" w:eastAsia="仿宋"/>
          <w:bCs/>
          <w:sz w:val="32"/>
          <w:szCs w:val="32"/>
        </w:rPr>
        <w:t>组，</w:t>
      </w:r>
      <w:r>
        <w:rPr>
          <w:rFonts w:hint="eastAsia" w:ascii="仿宋" w:hAnsi="仿宋" w:eastAsia="仿宋"/>
          <w:bCs/>
          <w:sz w:val="32"/>
          <w:szCs w:val="32"/>
        </w:rPr>
        <w:t>由各系党总支书记任组长，学管主任为副组长，团总</w:t>
      </w:r>
      <w:r>
        <w:rPr>
          <w:rFonts w:hint="eastAsia" w:ascii="仿宋" w:hAnsi="仿宋" w:eastAsia="仿宋"/>
          <w:sz w:val="32"/>
          <w:szCs w:val="32"/>
        </w:rPr>
        <w:t>支书记、学管干事和辅导员任组员，</w:t>
      </w:r>
      <w:r>
        <w:rPr>
          <w:rFonts w:ascii="仿宋" w:hAnsi="仿宋" w:eastAsia="仿宋"/>
          <w:sz w:val="32"/>
          <w:szCs w:val="32"/>
        </w:rPr>
        <w:t>负责学校征兵工作的具体实施，征兵政策的宣传和动员，协助征兵办公室做好入伍大学生政审及相关工作，确保责任明确、人员到位、工作落实。</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二、报名基本条件</w:t>
      </w:r>
    </w:p>
    <w:p>
      <w:pPr>
        <w:pStyle w:val="3"/>
        <w:spacing w:before="0" w:beforeAutospacing="0" w:after="0" w:afterAutospacing="0" w:line="560" w:lineRule="exact"/>
        <w:ind w:firstLine="640" w:firstLineChars="200"/>
        <w:rPr>
          <w:rFonts w:ascii="仿宋" w:hAnsi="仿宋" w:eastAsia="楷体"/>
          <w:bCs/>
          <w:sz w:val="32"/>
          <w:szCs w:val="32"/>
        </w:rPr>
      </w:pPr>
      <w:r>
        <w:rPr>
          <w:rFonts w:hint="eastAsia" w:ascii="楷体" w:hAnsi="楷体" w:eastAsia="楷体"/>
          <w:bCs/>
          <w:sz w:val="32"/>
          <w:szCs w:val="32"/>
        </w:rPr>
        <w:t>（一）</w:t>
      </w:r>
      <w:r>
        <w:rPr>
          <w:rFonts w:ascii="楷体" w:hAnsi="楷体" w:eastAsia="楷体"/>
          <w:bCs/>
          <w:sz w:val="32"/>
          <w:szCs w:val="32"/>
        </w:rPr>
        <w:t>应征对象</w:t>
      </w:r>
      <w:r>
        <w:rPr>
          <w:rFonts w:hint="eastAsia" w:ascii="楷体" w:hAnsi="楷体" w:eastAsia="楷体"/>
          <w:bCs/>
          <w:sz w:val="32"/>
          <w:szCs w:val="32"/>
        </w:rPr>
        <w:t>年龄要求</w:t>
      </w:r>
    </w:p>
    <w:p>
      <w:pPr>
        <w:widowControl/>
        <w:shd w:val="clear" w:color="auto" w:fill="FFFFFF"/>
        <w:spacing w:line="560" w:lineRule="exact"/>
        <w:ind w:firstLine="672" w:firstLineChars="200"/>
        <w:rPr>
          <w:rFonts w:ascii="微软雅黑" w:hAnsi="微软雅黑" w:eastAsia="微软雅黑" w:cs="宋体"/>
          <w:color w:val="333333"/>
          <w:spacing w:val="8"/>
          <w:kern w:val="0"/>
          <w:sz w:val="26"/>
          <w:szCs w:val="26"/>
        </w:rPr>
      </w:pPr>
      <w:r>
        <w:rPr>
          <w:rFonts w:hint="eastAsia" w:ascii="仿宋" w:hAnsi="仿宋" w:eastAsia="仿宋" w:cs="宋体"/>
          <w:color w:val="000000"/>
          <w:spacing w:val="8"/>
          <w:kern w:val="0"/>
          <w:sz w:val="32"/>
          <w:szCs w:val="32"/>
        </w:rPr>
        <w:t>男兵：大专及以上文化程度的高校毕业生，年满18至24周岁（1999年1月1日—2003年12月31日出生）</w:t>
      </w:r>
    </w:p>
    <w:p>
      <w:pPr>
        <w:widowControl/>
        <w:shd w:val="clear" w:color="auto" w:fill="FFFFFF"/>
        <w:spacing w:line="560" w:lineRule="exact"/>
        <w:ind w:firstLine="672" w:firstLineChars="200"/>
        <w:rPr>
          <w:rFonts w:ascii="仿宋" w:hAnsi="仿宋" w:eastAsia="仿宋" w:cs="宋体"/>
          <w:color w:val="000000"/>
          <w:spacing w:val="8"/>
          <w:kern w:val="0"/>
          <w:sz w:val="32"/>
          <w:szCs w:val="32"/>
        </w:rPr>
      </w:pPr>
      <w:r>
        <w:rPr>
          <w:rFonts w:hint="eastAsia" w:ascii="仿宋" w:hAnsi="仿宋" w:eastAsia="仿宋" w:cs="宋体"/>
          <w:color w:val="000000"/>
          <w:spacing w:val="8"/>
          <w:kern w:val="0"/>
          <w:sz w:val="32"/>
          <w:szCs w:val="32"/>
        </w:rPr>
        <w:t>女兵：普通高等学校全日制应届毕业生及在校生，年满18至22周岁</w:t>
      </w:r>
      <w:r>
        <w:rPr>
          <w:rFonts w:hint="eastAsia" w:ascii="仿宋" w:hAnsi="仿宋" w:eastAsia="仿宋" w:cs="宋体"/>
          <w:color w:val="000000"/>
          <w:spacing w:val="8"/>
          <w:kern w:val="0"/>
          <w:sz w:val="32"/>
          <w:szCs w:val="32"/>
          <w:shd w:val="clear" w:color="auto" w:fill="FFFFFF"/>
        </w:rPr>
        <w:t>（1999年1月1日——2003年12月31日出生）</w:t>
      </w:r>
      <w:r>
        <w:rPr>
          <w:rFonts w:hint="eastAsia" w:ascii="仿宋" w:hAnsi="仿宋" w:eastAsia="仿宋" w:cs="宋体"/>
          <w:color w:val="000000"/>
          <w:spacing w:val="8"/>
          <w:kern w:val="0"/>
          <w:sz w:val="32"/>
          <w:szCs w:val="32"/>
        </w:rPr>
        <w:t>。女生无论是在校生还是毕业生都要有秋季全国统一高考成绩才有希望通过全国征兵网初选，2021年上半年通过初选人员，高考成绩全部达到一本录取分数线。</w:t>
      </w:r>
    </w:p>
    <w:p>
      <w:pPr>
        <w:widowControl/>
        <w:shd w:val="clear" w:color="auto" w:fill="FFFFFF"/>
        <w:spacing w:line="560" w:lineRule="exact"/>
        <w:ind w:firstLine="672" w:firstLineChars="200"/>
        <w:rPr>
          <w:rFonts w:ascii="楷体" w:hAnsi="楷体" w:eastAsia="楷体"/>
          <w:bCs/>
          <w:sz w:val="32"/>
          <w:szCs w:val="32"/>
        </w:rPr>
      </w:pPr>
      <w:r>
        <w:rPr>
          <w:rFonts w:hint="eastAsia" w:ascii="楷体" w:hAnsi="楷体" w:eastAsia="楷体" w:cs="楷体"/>
          <w:color w:val="000000"/>
          <w:spacing w:val="8"/>
          <w:kern w:val="0"/>
          <w:sz w:val="32"/>
          <w:szCs w:val="32"/>
        </w:rPr>
        <w:t>（二）</w:t>
      </w:r>
      <w:r>
        <w:rPr>
          <w:rFonts w:hint="eastAsia" w:ascii="楷体" w:hAnsi="楷体" w:eastAsia="楷体"/>
          <w:bCs/>
          <w:sz w:val="32"/>
          <w:szCs w:val="32"/>
        </w:rPr>
        <w:t>应征报名时间</w:t>
      </w:r>
    </w:p>
    <w:p>
      <w:pPr>
        <w:pStyle w:val="3"/>
        <w:spacing w:before="0" w:beforeAutospacing="0" w:after="0" w:afterAutospacing="0"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男兵：</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上半年：2020年12月10日至2021年3月30日</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下半年：2021年4月1日至2021年8月15日</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女兵：</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上半年：2020年12月10日至2021年3月30日</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下半年：2021年6月26日至2021年8月15日18时</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（三）基本身体条件</w:t>
      </w:r>
    </w:p>
    <w:p>
      <w:pPr>
        <w:pStyle w:val="3"/>
        <w:shd w:val="clear" w:color="auto" w:fill="FFFFFF"/>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身高：</w:t>
      </w:r>
      <w:r>
        <w:rPr>
          <w:rFonts w:hint="eastAsia" w:ascii="仿宋" w:hAnsi="仿宋" w:eastAsia="仿宋"/>
          <w:sz w:val="32"/>
          <w:szCs w:val="32"/>
        </w:rPr>
        <w:t>男性身高160cm以上，女性身高158cm以上，合格。</w:t>
      </w:r>
    </w:p>
    <w:p>
      <w:pPr>
        <w:pStyle w:val="3"/>
        <w:shd w:val="clear" w:color="auto" w:fill="FFFFFF"/>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体重：</w:t>
      </w:r>
      <w:r>
        <w:rPr>
          <w:rFonts w:hint="eastAsia" w:ascii="仿宋" w:hAnsi="仿宋" w:eastAsia="仿宋"/>
          <w:sz w:val="32"/>
          <w:szCs w:val="32"/>
        </w:rPr>
        <w:t>1.男性：17.5≤BMI&lt;28，其中17.5≤男性条件兵&lt;27；28≤BMI&lt;30，糖化血红蛋白百分比&lt;6.5%；2.女性：17≤BMI&lt;24。</w:t>
      </w:r>
    </w:p>
    <w:p>
      <w:pPr>
        <w:pStyle w:val="3"/>
        <w:shd w:val="clear" w:color="auto" w:fill="FFFFFF"/>
        <w:spacing w:before="0" w:beforeAutospacing="0" w:after="0" w:afterAutospacing="0" w:line="560" w:lineRule="exact"/>
        <w:ind w:firstLine="640" w:firstLineChars="200"/>
        <w:rPr>
          <w:rFonts w:ascii="微软雅黑" w:hAnsi="微软雅黑" w:eastAsia="微软雅黑"/>
          <w:color w:val="333333"/>
          <w:spacing w:val="8"/>
          <w:sz w:val="26"/>
          <w:szCs w:val="26"/>
        </w:rPr>
      </w:pPr>
      <w:r>
        <w:rPr>
          <w:rFonts w:ascii="仿宋" w:hAnsi="仿宋" w:eastAsia="仿宋"/>
          <w:sz w:val="32"/>
          <w:szCs w:val="32"/>
        </w:rPr>
        <w:t>视力：</w:t>
      </w:r>
      <w:r>
        <w:rPr>
          <w:rFonts w:hint="eastAsia" w:ascii="仿宋" w:hAnsi="仿宋" w:eastAsia="仿宋"/>
          <w:color w:val="000000"/>
          <w:spacing w:val="8"/>
          <w:sz w:val="32"/>
          <w:szCs w:val="32"/>
          <w:shd w:val="clear" w:color="auto" w:fill="FFFFFF"/>
        </w:rPr>
        <w:t>任何一眼裸眼视力低于4.5，不合格。</w:t>
      </w:r>
      <w:r>
        <w:rPr>
          <w:rFonts w:hint="eastAsia" w:ascii="仿宋" w:hAnsi="仿宋" w:eastAsia="仿宋"/>
          <w:color w:val="000000"/>
          <w:spacing w:val="8"/>
          <w:sz w:val="32"/>
          <w:szCs w:val="32"/>
        </w:rPr>
        <w:t>任何一眼裸眼视力低于4.8，需进行矫正视力检查，任何一眼矫正视力低于4.8或矫正度数超过600度，不合格。屈光不正经准分子激光手术后半年以上，无并发症，任何一眼裸眼视力达到4.8，眼底检查正常，除潜艇人员、潜水员、空降兵外合格。色弱，色盲，不合格。</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具体条件按照《应征公民体格检查标准》执行。</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（四）基本政治条件</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征兵政治考核以应征公民本人现实表现为主。考核内容包括：应征公民的个人基本信息、政治面貌、宗教信仰、婚姻状况、毕业（就读）学校、文化程度、主要经历、出国（境）情况、现实表现、奖惩情况，以及家庭成员、主要社会关系成员的政治情况等。具体条件按照《征兵政治考核工作规定》执行。</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三、 工作实施阶段</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（一）宣传发动阶段。</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各部门、各系部、各班级积极行动，采取</w:t>
      </w:r>
      <w:r>
        <w:rPr>
          <w:rFonts w:hint="eastAsia" w:ascii="仿宋" w:hAnsi="仿宋" w:eastAsia="仿宋"/>
          <w:sz w:val="32"/>
          <w:szCs w:val="32"/>
        </w:rPr>
        <w:t>校园网站、</w:t>
      </w:r>
      <w:r>
        <w:rPr>
          <w:rFonts w:ascii="仿宋" w:hAnsi="仿宋" w:eastAsia="仿宋"/>
          <w:sz w:val="32"/>
          <w:szCs w:val="32"/>
        </w:rPr>
        <w:t>微信公众号、</w:t>
      </w:r>
      <w:r>
        <w:rPr>
          <w:rFonts w:hint="eastAsia" w:ascii="仿宋" w:hAnsi="仿宋" w:eastAsia="仿宋"/>
          <w:sz w:val="32"/>
          <w:szCs w:val="32"/>
        </w:rPr>
        <w:t>召开主题班会、致家长一封信、政策问答明白纸、电话短信等</w:t>
      </w:r>
      <w:r>
        <w:rPr>
          <w:rFonts w:ascii="仿宋" w:hAnsi="仿宋" w:eastAsia="仿宋"/>
          <w:sz w:val="32"/>
          <w:szCs w:val="32"/>
        </w:rPr>
        <w:t>形式进行广泛宣传。</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（二）报名阶段。</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登录“全国征兵网”（网址：http://www.gfbzb.gov.cn），按网页提示填写个人基本信息。</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具体步骤：兵役登记—实名注册报名—报名提交</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报名学生可选择学校所在地报名应征也可选择户籍所在地报名应征，</w:t>
      </w:r>
      <w:r>
        <w:rPr>
          <w:rFonts w:hint="eastAsia" w:ascii="仿宋" w:hAnsi="仿宋" w:eastAsia="仿宋" w:cs="宋体"/>
          <w:kern w:val="0"/>
          <w:sz w:val="32"/>
          <w:szCs w:val="32"/>
        </w:rPr>
        <w:t>建议</w:t>
      </w:r>
      <w:r>
        <w:rPr>
          <w:rFonts w:ascii="仿宋" w:hAnsi="仿宋" w:eastAsia="仿宋" w:cs="宋体"/>
          <w:kern w:val="0"/>
          <w:sz w:val="32"/>
          <w:szCs w:val="32"/>
        </w:rPr>
        <w:t>选择学</w:t>
      </w:r>
      <w:r>
        <w:rPr>
          <w:rFonts w:hint="eastAsia" w:ascii="仿宋" w:hAnsi="仿宋" w:eastAsia="仿宋" w:cs="宋体"/>
          <w:kern w:val="0"/>
          <w:sz w:val="32"/>
          <w:szCs w:val="32"/>
        </w:rPr>
        <w:t>校</w:t>
      </w:r>
      <w:r>
        <w:rPr>
          <w:rFonts w:ascii="仿宋" w:hAnsi="仿宋" w:eastAsia="仿宋" w:cs="宋体"/>
          <w:kern w:val="0"/>
          <w:sz w:val="32"/>
          <w:szCs w:val="32"/>
        </w:rPr>
        <w:t>所在地报名应征，请在应征地填写：</w:t>
      </w:r>
      <w:r>
        <w:rPr>
          <w:rFonts w:hint="eastAsia" w:ascii="仿宋" w:hAnsi="仿宋" w:eastAsia="仿宋" w:cs="宋体"/>
          <w:kern w:val="0"/>
          <w:sz w:val="32"/>
          <w:szCs w:val="32"/>
        </w:rPr>
        <w:t>承德市</w:t>
      </w:r>
      <w:r>
        <w:rPr>
          <w:rFonts w:ascii="仿宋" w:hAnsi="仿宋" w:eastAsia="仿宋" w:cs="宋体"/>
          <w:kern w:val="0"/>
          <w:sz w:val="32"/>
          <w:szCs w:val="32"/>
        </w:rPr>
        <w:t>-</w:t>
      </w:r>
      <w:r>
        <w:rPr>
          <w:rFonts w:hint="eastAsia" w:ascii="仿宋" w:hAnsi="仿宋" w:eastAsia="仿宋" w:cs="宋体"/>
          <w:kern w:val="0"/>
          <w:sz w:val="32"/>
          <w:szCs w:val="32"/>
        </w:rPr>
        <w:t>开发区</w:t>
      </w:r>
      <w:r>
        <w:rPr>
          <w:rFonts w:ascii="仿宋" w:hAnsi="仿宋" w:eastAsia="仿宋" w:cs="宋体"/>
          <w:kern w:val="0"/>
          <w:sz w:val="32"/>
          <w:szCs w:val="32"/>
        </w:rPr>
        <w:t>-</w:t>
      </w:r>
      <w:r>
        <w:rPr>
          <w:rFonts w:hint="eastAsia" w:ascii="仿宋" w:hAnsi="仿宋" w:eastAsia="仿宋" w:cs="宋体"/>
          <w:kern w:val="0"/>
          <w:sz w:val="32"/>
          <w:szCs w:val="32"/>
        </w:rPr>
        <w:t>承德应用技术职业学院</w:t>
      </w:r>
      <w:r>
        <w:rPr>
          <w:rFonts w:ascii="仿宋" w:hAnsi="仿宋" w:eastAsia="仿宋" w:cs="宋体"/>
          <w:kern w:val="0"/>
          <w:sz w:val="32"/>
          <w:szCs w:val="32"/>
        </w:rPr>
        <w:t>（</w:t>
      </w:r>
      <w:r>
        <w:rPr>
          <w:rFonts w:hint="eastAsia" w:ascii="仿宋" w:hAnsi="仿宋" w:eastAsia="仿宋" w:cs="宋体"/>
          <w:kern w:val="0"/>
          <w:sz w:val="32"/>
          <w:szCs w:val="32"/>
        </w:rPr>
        <w:t>如想从学校入伍应征地就必须选择为学校</w:t>
      </w:r>
      <w:r>
        <w:rPr>
          <w:rFonts w:ascii="仿宋" w:hAnsi="仿宋" w:eastAsia="仿宋" w:cs="宋体"/>
          <w:kern w:val="0"/>
          <w:sz w:val="32"/>
          <w:szCs w:val="32"/>
        </w:rPr>
        <w:t>）。</w:t>
      </w:r>
    </w:p>
    <w:p>
      <w:pPr>
        <w:widowControl/>
        <w:spacing w:line="560" w:lineRule="exact"/>
        <w:ind w:firstLine="640" w:firstLineChars="200"/>
        <w:jc w:val="left"/>
        <w:rPr>
          <w:rFonts w:ascii="楷体" w:hAnsi="楷体" w:eastAsia="楷体"/>
          <w:b/>
          <w:sz w:val="32"/>
          <w:szCs w:val="32"/>
        </w:rPr>
      </w:pPr>
      <w:r>
        <w:rPr>
          <w:rFonts w:ascii="仿宋" w:hAnsi="仿宋" w:eastAsia="仿宋" w:cs="宋体"/>
          <w:kern w:val="0"/>
          <w:sz w:val="32"/>
          <w:szCs w:val="32"/>
        </w:rPr>
        <w:t>报名成功后，自行下载打印《男性公民兵役登记/应征报名表》《大学生预征对象登记表》，符合国家学费资助条件的，同时还应下载打印《高校大学生应征入伍学费补偿国家助学贷款代偿申请表》，然后等待兵役部门通知，按要求参加初检初考和体检政考</w:t>
      </w:r>
      <w:r>
        <w:rPr>
          <w:rFonts w:ascii="楷体" w:hAnsi="楷体" w:eastAsia="楷体" w:cs="宋体"/>
          <w:kern w:val="0"/>
          <w:sz w:val="32"/>
          <w:szCs w:val="32"/>
        </w:rPr>
        <w:t>。</w:t>
      </w:r>
      <w:r>
        <w:rPr>
          <w:rFonts w:hint="eastAsia" w:ascii="宋体" w:hAnsi="宋体" w:eastAsia="宋体" w:cs="宋体"/>
          <w:b/>
          <w:kern w:val="0"/>
          <w:sz w:val="32"/>
          <w:szCs w:val="32"/>
        </w:rPr>
        <w:t> </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（三）体格检查阶段。</w:t>
      </w:r>
      <w:r>
        <w:rPr>
          <w:rFonts w:ascii="仿宋" w:hAnsi="仿宋" w:eastAsia="仿宋"/>
          <w:sz w:val="32"/>
          <w:szCs w:val="32"/>
        </w:rPr>
        <w:t>体格检查由市征兵办和双桥区武装部统一组织安排，学校征兵工作</w:t>
      </w:r>
      <w:r>
        <w:rPr>
          <w:rFonts w:hint="eastAsia" w:ascii="仿宋" w:hAnsi="仿宋" w:eastAsia="仿宋"/>
          <w:sz w:val="32"/>
          <w:szCs w:val="32"/>
        </w:rPr>
        <w:t>办公室</w:t>
      </w:r>
      <w:r>
        <w:rPr>
          <w:rFonts w:ascii="仿宋" w:hAnsi="仿宋" w:eastAsia="仿宋"/>
          <w:sz w:val="32"/>
          <w:szCs w:val="32"/>
        </w:rPr>
        <w:t>协助配合。专项征集体格检查根据学校报名情况分阶段、分批次组织。如有变动，以上级征兵部门通知为准。</w:t>
      </w:r>
      <w:r>
        <w:rPr>
          <w:rFonts w:hint="eastAsia" w:ascii="仿宋" w:hAnsi="仿宋" w:eastAsia="仿宋"/>
          <w:sz w:val="32"/>
          <w:szCs w:val="32"/>
        </w:rPr>
        <w:t>上站体检合格后，学生到学工处办理征兵入伍保留学籍手续（保留学籍手续包括：1、学生参军入伍保留学籍申请表（到系里填写）2、本人身份证复印件3、大学生预征对象登记表4、本人入伍通知书复印件（待集训完成定兵后发放入伍通知书后上交））</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（四）政治考核阶段。</w:t>
      </w:r>
      <w:r>
        <w:rPr>
          <w:rFonts w:ascii="仿宋" w:hAnsi="仿宋" w:eastAsia="仿宋"/>
          <w:sz w:val="32"/>
          <w:szCs w:val="32"/>
        </w:rPr>
        <w:t>由区武装部按征兵政治考核工作有关规定组织，学校征兵工作</w:t>
      </w:r>
      <w:r>
        <w:rPr>
          <w:rFonts w:hint="eastAsia" w:ascii="仿宋" w:hAnsi="仿宋" w:eastAsia="仿宋"/>
          <w:sz w:val="32"/>
          <w:szCs w:val="32"/>
        </w:rPr>
        <w:t>办公室</w:t>
      </w:r>
      <w:r>
        <w:rPr>
          <w:rFonts w:ascii="仿宋" w:hAnsi="仿宋" w:eastAsia="仿宋"/>
          <w:sz w:val="32"/>
          <w:szCs w:val="32"/>
        </w:rPr>
        <w:t>协助配合。</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（五）审批定兵阶段。</w:t>
      </w:r>
      <w:r>
        <w:rPr>
          <w:rFonts w:ascii="仿宋" w:hAnsi="仿宋" w:eastAsia="仿宋"/>
          <w:sz w:val="32"/>
          <w:szCs w:val="32"/>
        </w:rPr>
        <w:t>区武装部按照“合格一个、预定一个”的原则，完成高校义务兵预定工作，并逐人发放“大学生预定兵通知书”。</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（六）新兵组织集训阶段。</w:t>
      </w:r>
      <w:r>
        <w:rPr>
          <w:rFonts w:ascii="仿宋" w:hAnsi="仿宋" w:eastAsia="仿宋"/>
          <w:sz w:val="32"/>
          <w:szCs w:val="32"/>
        </w:rPr>
        <w:t>由区武装部统一组织到预定地点进行集中训练，主要查看学生的身体素质和对部队的适应能力。并对预定大学生义务兵进行复检复考。复检项目主要是传染病、性病、艾滋病、四肢关节、皮肤、毒检等，复考项目主要是违法犯罪信息。不合格的取消资格，防止不合格兵员流入部队。</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（七）定兵、公示、交接运输阶段</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由区武装部负责，</w:t>
      </w:r>
      <w:r>
        <w:rPr>
          <w:rFonts w:ascii="仿宋" w:hAnsi="仿宋" w:eastAsia="仿宋"/>
          <w:sz w:val="32"/>
          <w:szCs w:val="32"/>
        </w:rPr>
        <w:t>召开定兵会，按照“优先定兵、优先选择方向”的原则，确定新兵入伍方向及办理入伍手续</w:t>
      </w:r>
      <w:r>
        <w:rPr>
          <w:rFonts w:hint="eastAsia" w:ascii="仿宋" w:hAnsi="仿宋" w:eastAsia="仿宋"/>
          <w:sz w:val="32"/>
          <w:szCs w:val="32"/>
        </w:rPr>
        <w:t>。</w:t>
      </w:r>
      <w:r>
        <w:rPr>
          <w:rFonts w:ascii="仿宋" w:hAnsi="仿宋" w:eastAsia="仿宋"/>
          <w:sz w:val="32"/>
          <w:szCs w:val="32"/>
        </w:rPr>
        <w:t>学</w:t>
      </w:r>
      <w:r>
        <w:rPr>
          <w:rFonts w:hint="eastAsia" w:ascii="仿宋" w:hAnsi="仿宋" w:eastAsia="仿宋"/>
          <w:sz w:val="32"/>
          <w:szCs w:val="32"/>
        </w:rPr>
        <w:t>院在</w:t>
      </w:r>
      <w:r>
        <w:rPr>
          <w:rFonts w:ascii="仿宋" w:hAnsi="仿宋" w:eastAsia="仿宋"/>
          <w:sz w:val="32"/>
          <w:szCs w:val="32"/>
        </w:rPr>
        <w:t>显著位置设置征兵工作公示栏，公开征兵政策规定、纪律要求、体格检查、政治考核合格名单和预定新兵名单</w:t>
      </w:r>
      <w:r>
        <w:rPr>
          <w:rFonts w:hint="eastAsia" w:ascii="仿宋" w:hAnsi="仿宋" w:eastAsia="仿宋"/>
          <w:sz w:val="32"/>
          <w:szCs w:val="32"/>
        </w:rPr>
        <w:t>，公示期为5个工作日。</w:t>
      </w:r>
      <w:r>
        <w:rPr>
          <w:rFonts w:ascii="仿宋" w:hAnsi="仿宋" w:eastAsia="仿宋"/>
          <w:sz w:val="32"/>
          <w:szCs w:val="32"/>
        </w:rPr>
        <w:t>学校征兵工作</w:t>
      </w:r>
      <w:r>
        <w:rPr>
          <w:rFonts w:hint="eastAsia" w:ascii="仿宋" w:hAnsi="仿宋" w:eastAsia="仿宋"/>
          <w:sz w:val="32"/>
          <w:szCs w:val="32"/>
        </w:rPr>
        <w:t>办公室</w:t>
      </w:r>
      <w:r>
        <w:rPr>
          <w:rFonts w:ascii="仿宋" w:hAnsi="仿宋" w:eastAsia="仿宋"/>
          <w:sz w:val="32"/>
          <w:szCs w:val="32"/>
        </w:rPr>
        <w:t>协助配合</w:t>
      </w:r>
      <w:r>
        <w:rPr>
          <w:rFonts w:hint="eastAsia" w:ascii="仿宋" w:hAnsi="仿宋" w:eastAsia="仿宋"/>
          <w:sz w:val="32"/>
          <w:szCs w:val="32"/>
        </w:rPr>
        <w:t>区武装部做好新兵交接运输工作。</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（八）教育管理阶段。</w:t>
      </w:r>
      <w:r>
        <w:rPr>
          <w:rFonts w:ascii="仿宋" w:hAnsi="仿宋" w:eastAsia="仿宋"/>
          <w:sz w:val="32"/>
          <w:szCs w:val="32"/>
        </w:rPr>
        <w:t>学校征兵工作</w:t>
      </w:r>
      <w:r>
        <w:rPr>
          <w:rFonts w:hint="eastAsia" w:ascii="仿宋" w:hAnsi="仿宋" w:eastAsia="仿宋"/>
          <w:sz w:val="32"/>
          <w:szCs w:val="32"/>
        </w:rPr>
        <w:t>办公室</w:t>
      </w:r>
      <w:r>
        <w:rPr>
          <w:rFonts w:ascii="仿宋" w:hAnsi="仿宋" w:eastAsia="仿宋"/>
          <w:sz w:val="32"/>
          <w:szCs w:val="32"/>
        </w:rPr>
        <w:t>、各系征兵工作</w:t>
      </w:r>
      <w:r>
        <w:rPr>
          <w:rFonts w:hint="eastAsia" w:ascii="仿宋" w:hAnsi="仿宋" w:eastAsia="仿宋"/>
          <w:sz w:val="32"/>
          <w:szCs w:val="32"/>
        </w:rPr>
        <w:t>小</w:t>
      </w:r>
      <w:r>
        <w:rPr>
          <w:rFonts w:ascii="仿宋" w:hAnsi="仿宋" w:eastAsia="仿宋"/>
          <w:sz w:val="32"/>
          <w:szCs w:val="32"/>
        </w:rPr>
        <w:t>组要</w:t>
      </w:r>
      <w:r>
        <w:rPr>
          <w:rFonts w:hint="eastAsia" w:ascii="仿宋" w:hAnsi="仿宋" w:eastAsia="仿宋"/>
          <w:sz w:val="32"/>
          <w:szCs w:val="32"/>
        </w:rPr>
        <w:t>对</w:t>
      </w:r>
      <w:r>
        <w:rPr>
          <w:rFonts w:ascii="仿宋" w:hAnsi="仿宋" w:eastAsia="仿宋"/>
          <w:sz w:val="32"/>
          <w:szCs w:val="32"/>
        </w:rPr>
        <w:t>预定大学生义务兵进行跟踪管理，避免兵员流失。</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四、各部门职责</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bCs/>
          <w:sz w:val="32"/>
          <w:szCs w:val="32"/>
        </w:rPr>
        <w:t>学</w:t>
      </w:r>
      <w:r>
        <w:rPr>
          <w:rFonts w:hint="eastAsia" w:ascii="仿宋" w:hAnsi="仿宋" w:eastAsia="仿宋"/>
          <w:bCs/>
          <w:sz w:val="32"/>
          <w:szCs w:val="32"/>
        </w:rPr>
        <w:t>工</w:t>
      </w:r>
      <w:r>
        <w:rPr>
          <w:rFonts w:ascii="仿宋" w:hAnsi="仿宋" w:eastAsia="仿宋"/>
          <w:bCs/>
          <w:sz w:val="32"/>
          <w:szCs w:val="32"/>
        </w:rPr>
        <w:t>处</w:t>
      </w:r>
      <w:r>
        <w:rPr>
          <w:rFonts w:hint="eastAsia" w:ascii="仿宋" w:hAnsi="仿宋" w:eastAsia="仿宋"/>
          <w:bCs/>
          <w:sz w:val="32"/>
          <w:szCs w:val="32"/>
        </w:rPr>
        <w:t>（团委）</w:t>
      </w:r>
      <w:r>
        <w:rPr>
          <w:rFonts w:ascii="仿宋" w:hAnsi="仿宋" w:eastAsia="仿宋"/>
          <w:bCs/>
          <w:sz w:val="32"/>
          <w:szCs w:val="32"/>
        </w:rPr>
        <w:t>：</w:t>
      </w:r>
      <w:r>
        <w:rPr>
          <w:rFonts w:ascii="仿宋" w:hAnsi="仿宋" w:eastAsia="仿宋"/>
          <w:sz w:val="32"/>
          <w:szCs w:val="32"/>
        </w:rPr>
        <w:t>负责学生应征入伍宣传、教育管理、学费代偿补偿、</w:t>
      </w:r>
      <w:r>
        <w:rPr>
          <w:rFonts w:hint="eastAsia" w:ascii="仿宋" w:hAnsi="仿宋" w:eastAsia="仿宋"/>
          <w:sz w:val="32"/>
          <w:szCs w:val="32"/>
        </w:rPr>
        <w:t>撰写</w:t>
      </w:r>
      <w:r>
        <w:rPr>
          <w:rFonts w:ascii="仿宋" w:hAnsi="仿宋" w:eastAsia="仿宋"/>
          <w:sz w:val="32"/>
          <w:szCs w:val="32"/>
        </w:rPr>
        <w:t>“致新生一封信”</w:t>
      </w:r>
      <w:r>
        <w:rPr>
          <w:rFonts w:hint="eastAsia" w:ascii="仿宋" w:hAnsi="仿宋" w:eastAsia="仿宋"/>
          <w:sz w:val="32"/>
          <w:szCs w:val="32"/>
        </w:rPr>
        <w:t>、</w:t>
      </w:r>
      <w:r>
        <w:rPr>
          <w:rFonts w:ascii="仿宋" w:hAnsi="仿宋" w:eastAsia="仿宋"/>
          <w:sz w:val="32"/>
          <w:szCs w:val="32"/>
        </w:rPr>
        <w:t>退役后就业指导工作</w:t>
      </w:r>
      <w:r>
        <w:rPr>
          <w:rFonts w:hint="eastAsia" w:ascii="仿宋" w:hAnsi="仿宋" w:eastAsia="仿宋"/>
          <w:sz w:val="32"/>
          <w:szCs w:val="32"/>
        </w:rPr>
        <w:t>、</w:t>
      </w:r>
      <w:r>
        <w:rPr>
          <w:rFonts w:ascii="仿宋" w:hAnsi="仿宋" w:eastAsia="仿宋"/>
          <w:sz w:val="32"/>
          <w:szCs w:val="32"/>
        </w:rPr>
        <w:t>入伍学生学籍保留、学籍恢复、</w:t>
      </w:r>
      <w:r>
        <w:rPr>
          <w:rFonts w:hint="eastAsia" w:ascii="仿宋" w:hAnsi="仿宋" w:eastAsia="仿宋"/>
          <w:sz w:val="32"/>
          <w:szCs w:val="32"/>
        </w:rPr>
        <w:t>每周不定期检查各系开展征兵</w:t>
      </w:r>
      <w:r>
        <w:rPr>
          <w:rFonts w:ascii="仿宋" w:hAnsi="仿宋" w:eastAsia="仿宋"/>
          <w:sz w:val="32"/>
          <w:szCs w:val="32"/>
        </w:rPr>
        <w:t>等工作</w:t>
      </w:r>
      <w:r>
        <w:rPr>
          <w:rFonts w:hint="eastAsia" w:ascii="仿宋" w:hAnsi="仿宋" w:eastAsia="仿宋"/>
          <w:sz w:val="32"/>
          <w:szCs w:val="32"/>
        </w:rPr>
        <w:t>。</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教务处：学生入伍前学生成绩认定，学生复学后</w:t>
      </w:r>
      <w:r>
        <w:rPr>
          <w:rFonts w:ascii="仿宋" w:hAnsi="仿宋" w:eastAsia="仿宋"/>
          <w:bCs/>
          <w:sz w:val="32"/>
          <w:szCs w:val="32"/>
        </w:rPr>
        <w:t>升学考试、转专业</w:t>
      </w:r>
      <w:r>
        <w:rPr>
          <w:rFonts w:hint="eastAsia" w:ascii="仿宋" w:hAnsi="仿宋" w:eastAsia="仿宋"/>
          <w:bCs/>
          <w:sz w:val="32"/>
          <w:szCs w:val="32"/>
        </w:rPr>
        <w:t>等相关工作。</w:t>
      </w:r>
    </w:p>
    <w:p>
      <w:pPr>
        <w:pStyle w:val="3"/>
        <w:spacing w:before="0" w:beforeAutospacing="0" w:after="0" w:afterAutospacing="0" w:line="560" w:lineRule="exact"/>
        <w:ind w:firstLine="640" w:firstLineChars="200"/>
        <w:rPr>
          <w:rFonts w:ascii="仿宋" w:hAnsi="仿宋" w:eastAsia="仿宋"/>
          <w:bCs/>
          <w:sz w:val="32"/>
          <w:szCs w:val="32"/>
        </w:rPr>
      </w:pPr>
      <w:r>
        <w:rPr>
          <w:rFonts w:ascii="仿宋" w:hAnsi="仿宋" w:eastAsia="仿宋"/>
          <w:bCs/>
          <w:sz w:val="32"/>
          <w:szCs w:val="32"/>
        </w:rPr>
        <w:t>财务处：负责征兵工作经费保障及学费补偿。</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党群工作处</w:t>
      </w:r>
      <w:r>
        <w:rPr>
          <w:rFonts w:ascii="仿宋" w:hAnsi="仿宋" w:eastAsia="仿宋"/>
          <w:bCs/>
          <w:sz w:val="32"/>
          <w:szCs w:val="32"/>
        </w:rPr>
        <w:t>：负责征兵工作的宣传、先进事迹的报道工作。</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bCs/>
          <w:sz w:val="32"/>
          <w:szCs w:val="32"/>
        </w:rPr>
        <w:t>各系（院）及辅导员：具体</w:t>
      </w:r>
      <w:r>
        <w:rPr>
          <w:rFonts w:hint="eastAsia" w:ascii="仿宋" w:hAnsi="仿宋" w:eastAsia="仿宋"/>
          <w:sz w:val="32"/>
          <w:szCs w:val="32"/>
        </w:rPr>
        <w:t>落实学生应征入伍宣传、教育管理、档案保留、退伍复学及就业指导工作、通知组织学生报名、体检、政审、专业审定、回访等工作，定期与在役学生及其家长、有关部队沟通联系，以及其他关于征兵的相关工作。</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五、有关要求</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（一）加强组织领导，</w:t>
      </w:r>
      <w:r>
        <w:rPr>
          <w:rFonts w:ascii="仿宋" w:hAnsi="仿宋" w:eastAsia="仿宋"/>
          <w:sz w:val="32"/>
          <w:szCs w:val="32"/>
        </w:rPr>
        <w:t>强化使命意识、责任意识</w:t>
      </w:r>
      <w:r>
        <w:rPr>
          <w:rFonts w:hint="eastAsia" w:ascii="仿宋" w:hAnsi="仿宋" w:eastAsia="仿宋"/>
          <w:sz w:val="32"/>
          <w:szCs w:val="32"/>
        </w:rPr>
        <w:t>。要切实认清“一年两征”改革重大意义，适应征兵工作常态化要求，重点突出高校主阵地和大学生征集主体，分析形势，结合上级下发高校的任务数，层层签订承诺书，把任务分解到各系（院）和辅导员，并与教学、就业和管理等工作同步部署、同步推进、同步考核，形成校领导主责、征兵工作办公室专责、系（院）定责、相关部门尽责的良好工作格局。</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（二）突出征集重点。围绕“保持大学生征集比例，提高大学毕业生征集数量” 的要求，把大学毕业生（2018级）征集作为重中之重，抢抓“黄金期”，在寒暑假或毕业生离校前，再宣传、再发动。</w:t>
      </w:r>
    </w:p>
    <w:p>
      <w:pPr>
        <w:pStyle w:val="3"/>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（三）</w:t>
      </w:r>
      <w:r>
        <w:rPr>
          <w:rFonts w:ascii="仿宋" w:hAnsi="仿宋" w:eastAsia="仿宋"/>
          <w:sz w:val="32"/>
          <w:szCs w:val="32"/>
        </w:rPr>
        <w:t>深入宣传发动</w:t>
      </w:r>
      <w:r>
        <w:rPr>
          <w:rFonts w:hint="eastAsia" w:ascii="仿宋" w:hAnsi="仿宋" w:eastAsia="仿宋"/>
          <w:sz w:val="32"/>
          <w:szCs w:val="32"/>
        </w:rPr>
        <w:t>。</w:t>
      </w:r>
      <w:r>
        <w:rPr>
          <w:rFonts w:ascii="仿宋" w:hAnsi="仿宋" w:eastAsia="仿宋"/>
          <w:sz w:val="32"/>
          <w:szCs w:val="32"/>
        </w:rPr>
        <w:t>充分利用各种宣传渠道进行广泛宣传，系、班要指定专人负责，一对一、面对面解读政策</w:t>
      </w:r>
      <w:r>
        <w:rPr>
          <w:rFonts w:hint="eastAsia" w:ascii="仿宋" w:hAnsi="仿宋" w:eastAsia="仿宋"/>
          <w:sz w:val="32"/>
          <w:szCs w:val="32"/>
        </w:rPr>
        <w:t>，由系（院）辅导员对应包联、建档立卡，形成大学毕业生兵员潜力数据库</w:t>
      </w:r>
      <w:r>
        <w:rPr>
          <w:rFonts w:ascii="仿宋" w:hAnsi="仿宋" w:eastAsia="仿宋"/>
          <w:sz w:val="32"/>
          <w:szCs w:val="32"/>
        </w:rPr>
        <w:t>。</w:t>
      </w:r>
      <w:r>
        <w:rPr>
          <w:rFonts w:hint="eastAsia" w:ascii="仿宋" w:hAnsi="仿宋" w:eastAsia="仿宋"/>
          <w:sz w:val="32"/>
          <w:szCs w:val="32"/>
        </w:rPr>
        <w:t>结合庆祝中国共产党成立100周年，以班、宿舍为单位，小规模、多频次实施精准宣传发动，切实把国家出台的“专科学生免试入读普通本科或成人本科”政策和属地优惠政策宣传解读到位，把依法服役法律责任讲清，最大限度激发大学毕业生报名应征的热情，</w:t>
      </w:r>
      <w:r>
        <w:rPr>
          <w:rFonts w:ascii="仿宋" w:hAnsi="仿宋" w:eastAsia="仿宋"/>
          <w:sz w:val="32"/>
          <w:szCs w:val="32"/>
        </w:rPr>
        <w:t>多措并举做好思想政治工作，鼓励大学生踊跃报名。</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依据征兵工作“五率”考评指标和省教育厅有关要求，结合我</w:t>
      </w:r>
      <w:r>
        <w:rPr>
          <w:rFonts w:hint="eastAsia" w:ascii="仿宋" w:hAnsi="仿宋" w:eastAsia="仿宋"/>
          <w:sz w:val="32"/>
          <w:szCs w:val="32"/>
        </w:rPr>
        <w:t>院</w:t>
      </w:r>
      <w:r>
        <w:rPr>
          <w:rFonts w:ascii="仿宋" w:hAnsi="仿宋" w:eastAsia="仿宋"/>
          <w:sz w:val="32"/>
          <w:szCs w:val="32"/>
        </w:rPr>
        <w:t>实际，</w:t>
      </w:r>
      <w:r>
        <w:rPr>
          <w:rFonts w:hint="eastAsia" w:ascii="仿宋" w:hAnsi="仿宋" w:eastAsia="仿宋"/>
          <w:sz w:val="32"/>
          <w:szCs w:val="32"/>
        </w:rPr>
        <w:t>各系（院）要积极宣传征兵工作，分担网上报名任务</w:t>
      </w:r>
    </w:p>
    <w:p>
      <w:pPr>
        <w:pStyle w:val="3"/>
        <w:spacing w:before="0" w:beforeAutospacing="0" w:after="0" w:afterAutospacing="0" w:line="560" w:lineRule="exact"/>
        <w:rPr>
          <w:rFonts w:ascii="仿宋" w:hAnsi="仿宋" w:eastAsia="仿宋"/>
          <w:sz w:val="32"/>
          <w:szCs w:val="32"/>
        </w:rPr>
      </w:pPr>
      <w:r>
        <w:rPr>
          <w:rFonts w:hint="eastAsia" w:ascii="仿宋" w:hAnsi="仿宋" w:eastAsia="仿宋"/>
          <w:sz w:val="32"/>
          <w:szCs w:val="32"/>
        </w:rPr>
        <w:t>数及实际征集任务数，具体见附件1。</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加强组织领导，落实各项责任，切实做好学费补偿代偿、学籍保留、学籍恢复、转专业、就业指导等服务工作，做好跟踪教育管理工作。</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建立健全入伍学生“学校指导员”工作机制。</w:t>
      </w:r>
      <w:r>
        <w:rPr>
          <w:rFonts w:hint="eastAsia" w:ascii="仿宋" w:hAnsi="仿宋" w:eastAsia="仿宋"/>
          <w:sz w:val="32"/>
          <w:szCs w:val="32"/>
        </w:rPr>
        <w:t>由</w:t>
      </w:r>
      <w:r>
        <w:rPr>
          <w:rFonts w:ascii="仿宋" w:hAnsi="仿宋" w:eastAsia="仿宋"/>
          <w:sz w:val="32"/>
          <w:szCs w:val="32"/>
        </w:rPr>
        <w:t>征兵工作</w:t>
      </w:r>
      <w:r>
        <w:rPr>
          <w:rFonts w:hint="eastAsia" w:ascii="仿宋" w:hAnsi="仿宋" w:eastAsia="仿宋"/>
          <w:sz w:val="32"/>
          <w:szCs w:val="32"/>
        </w:rPr>
        <w:t>办公室和学生辅导员负责</w:t>
      </w:r>
      <w:r>
        <w:rPr>
          <w:rFonts w:ascii="仿宋" w:hAnsi="仿宋" w:eastAsia="仿宋"/>
          <w:sz w:val="32"/>
          <w:szCs w:val="32"/>
        </w:rPr>
        <w:t>，做好本校在役学生的跟踪教育、管理与服务工作。定期与在役学生及其家长、有关部队沟通联系，适时进行走访和慰问，跟踪掌握动态情况，关心其思想、工作、生活和成长，维护其合法权益，解除其后顾之忧，帮助其安心服役，鼓励其在部队建功立业</w:t>
      </w:r>
      <w:r>
        <w:rPr>
          <w:rFonts w:hint="eastAsia" w:ascii="仿宋" w:hAnsi="仿宋" w:eastAsia="仿宋"/>
          <w:sz w:val="32"/>
          <w:szCs w:val="32"/>
        </w:rPr>
        <w:t>。</w:t>
      </w:r>
      <w:r>
        <w:rPr>
          <w:rFonts w:ascii="仿宋" w:hAnsi="仿宋" w:eastAsia="仿宋"/>
          <w:sz w:val="32"/>
          <w:szCs w:val="32"/>
        </w:rPr>
        <w:t>建立健全在役士兵跟踪教育、管理与服务工作档案，及时整理上报本校在役学生先进典型事迹材料。</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学院征兵工作领导小组将征兵工作纳入系</w:t>
      </w:r>
      <w:r>
        <w:rPr>
          <w:rFonts w:hint="eastAsia" w:ascii="仿宋" w:hAnsi="仿宋" w:eastAsia="仿宋"/>
          <w:sz w:val="32"/>
          <w:szCs w:val="32"/>
        </w:rPr>
        <w:t>部</w:t>
      </w:r>
      <w:r>
        <w:rPr>
          <w:rFonts w:ascii="仿宋" w:hAnsi="仿宋" w:eastAsia="仿宋"/>
          <w:sz w:val="32"/>
          <w:szCs w:val="32"/>
        </w:rPr>
        <w:t>绩效考评体系，开展征兵工作检查督导，对工作突出的系部、班级及时给予表扬，对工作不力的采取通报批评、约谈领导等形式督促整改。年度征兵工作结束后，依据各系部任务完成情况，组织征兵工作先进单位和个人评选和典型推荐，对完不成征兵任务的取消</w:t>
      </w:r>
      <w:r>
        <w:rPr>
          <w:rFonts w:hint="eastAsia" w:ascii="仿宋" w:hAnsi="仿宋" w:eastAsia="仿宋"/>
          <w:sz w:val="32"/>
          <w:szCs w:val="32"/>
        </w:rPr>
        <w:t>系（院）</w:t>
      </w:r>
      <w:r>
        <w:rPr>
          <w:rFonts w:ascii="仿宋" w:hAnsi="仿宋" w:eastAsia="仿宋"/>
          <w:sz w:val="32"/>
          <w:szCs w:val="32"/>
        </w:rPr>
        <w:t>年度评先评优资格。</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征兵工作办公室</w:t>
      </w:r>
      <w:r>
        <w:rPr>
          <w:rFonts w:hint="eastAsia" w:ascii="仿宋" w:hAnsi="仿宋" w:eastAsia="仿宋"/>
          <w:sz w:val="32"/>
          <w:szCs w:val="32"/>
        </w:rPr>
        <w:t>电话：0314-2512637</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联系人</w:t>
      </w:r>
      <w:r>
        <w:rPr>
          <w:rFonts w:hint="eastAsia" w:ascii="仿宋" w:hAnsi="仿宋" w:eastAsia="仿宋"/>
          <w:sz w:val="32"/>
          <w:szCs w:val="32"/>
        </w:rPr>
        <w:t>电话</w:t>
      </w:r>
      <w:r>
        <w:rPr>
          <w:rFonts w:ascii="仿宋" w:hAnsi="仿宋" w:eastAsia="仿宋"/>
          <w:sz w:val="32"/>
          <w:szCs w:val="32"/>
        </w:rPr>
        <w:t>：</w:t>
      </w:r>
      <w:r>
        <w:rPr>
          <w:rFonts w:hint="eastAsia" w:ascii="仿宋" w:hAnsi="仿宋" w:eastAsia="仿宋"/>
          <w:sz w:val="32"/>
          <w:szCs w:val="32"/>
        </w:rPr>
        <w:t>张海燕 13731413090</w:t>
      </w:r>
    </w:p>
    <w:p>
      <w:pPr>
        <w:pStyle w:val="3"/>
        <w:spacing w:before="0" w:beforeAutospacing="0" w:after="0" w:afterAutospacing="0" w:line="560" w:lineRule="exact"/>
        <w:ind w:firstLine="2560" w:firstLineChars="800"/>
        <w:rPr>
          <w:rFonts w:hint="eastAsia" w:ascii="仿宋" w:hAnsi="仿宋" w:eastAsia="仿宋"/>
          <w:sz w:val="32"/>
          <w:szCs w:val="32"/>
        </w:rPr>
      </w:pPr>
      <w:r>
        <w:rPr>
          <w:rFonts w:hint="eastAsia" w:ascii="仿宋" w:hAnsi="仿宋" w:eastAsia="仿宋"/>
          <w:sz w:val="32"/>
          <w:szCs w:val="32"/>
        </w:rPr>
        <w:t>闫希子 13165522211</w:t>
      </w:r>
    </w:p>
    <w:p>
      <w:pPr>
        <w:pStyle w:val="3"/>
        <w:spacing w:before="0" w:beforeAutospacing="0" w:after="0" w:afterAutospacing="0" w:line="560" w:lineRule="exact"/>
        <w:ind w:firstLine="2560" w:firstLineChars="800"/>
        <w:rPr>
          <w:rFonts w:hint="eastAsia" w:ascii="仿宋" w:hAnsi="仿宋" w:eastAsia="仿宋"/>
          <w:sz w:val="32"/>
          <w:szCs w:val="32"/>
        </w:rPr>
      </w:pPr>
    </w:p>
    <w:p>
      <w:pPr>
        <w:pStyle w:val="3"/>
        <w:spacing w:before="0" w:beforeAutospacing="0" w:after="0" w:afterAutospacing="0" w:line="560" w:lineRule="exact"/>
        <w:ind w:firstLine="2560" w:firstLineChars="800"/>
        <w:rPr>
          <w:rFonts w:ascii="仿宋" w:hAnsi="仿宋" w:eastAsia="仿宋"/>
          <w:sz w:val="32"/>
          <w:szCs w:val="32"/>
        </w:rPr>
      </w:pP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sz w:val="32"/>
          <w:szCs w:val="32"/>
        </w:rPr>
        <w:t>附件1：</w:t>
      </w:r>
      <w:r>
        <w:rPr>
          <w:rFonts w:hint="eastAsia" w:ascii="仿宋" w:hAnsi="仿宋" w:eastAsia="仿宋"/>
          <w:bCs/>
          <w:sz w:val="32"/>
          <w:szCs w:val="32"/>
        </w:rPr>
        <w:t>2021年全院征兵各系网上报名分担任务数及实际征集任务数</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附件2：大学生参军入伍优惠政策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附件3：承德应用技术职业学院学生征兵明白书</w:t>
      </w:r>
    </w:p>
    <w:p>
      <w:pPr>
        <w:ind w:firstLine="640" w:firstLineChars="200"/>
        <w:rPr>
          <w:rFonts w:ascii="仿宋" w:hAnsi="仿宋" w:eastAsia="仿宋"/>
          <w:sz w:val="32"/>
          <w:szCs w:val="32"/>
        </w:rPr>
      </w:pPr>
    </w:p>
    <w:p>
      <w:pPr>
        <w:pStyle w:val="3"/>
        <w:spacing w:before="0" w:beforeAutospacing="0" w:after="0" w:afterAutospacing="0"/>
        <w:ind w:firstLine="640" w:firstLineChars="200"/>
        <w:rPr>
          <w:rFonts w:ascii="仿宋" w:hAnsi="仿宋" w:eastAsia="仿宋"/>
          <w:sz w:val="32"/>
          <w:szCs w:val="32"/>
        </w:rPr>
      </w:pPr>
    </w:p>
    <w:p>
      <w:pPr>
        <w:pStyle w:val="3"/>
        <w:wordWrap w:val="0"/>
        <w:spacing w:before="0" w:beforeAutospacing="0" w:after="0" w:afterAutospacing="0"/>
        <w:ind w:firstLine="640" w:firstLineChars="200"/>
        <w:jc w:val="right"/>
        <w:rPr>
          <w:rFonts w:ascii="仿宋" w:hAnsi="仿宋" w:eastAsia="仿宋"/>
          <w:sz w:val="32"/>
          <w:szCs w:val="32"/>
        </w:rPr>
      </w:pPr>
      <w:r>
        <w:rPr>
          <w:rFonts w:hint="eastAsia" w:ascii="仿宋" w:hAnsi="仿宋" w:eastAsia="仿宋"/>
          <w:sz w:val="32"/>
          <w:szCs w:val="32"/>
        </w:rPr>
        <w:t xml:space="preserve">  </w:t>
      </w:r>
    </w:p>
    <w:p>
      <w:pPr>
        <w:pStyle w:val="3"/>
        <w:spacing w:before="0" w:beforeAutospacing="0" w:after="0" w:afterAutospacing="0"/>
        <w:ind w:firstLine="640" w:firstLineChars="200"/>
        <w:rPr>
          <w:rFonts w:asciiTheme="minorEastAsia" w:hAnsiTheme="minorEastAsia" w:eastAsiaTheme="minorEastAsia"/>
          <w:sz w:val="32"/>
          <w:szCs w:val="32"/>
        </w:rPr>
      </w:pPr>
    </w:p>
    <w:p>
      <w:pPr>
        <w:rPr>
          <w:rFonts w:asciiTheme="minorEastAsia" w:hAnsiTheme="minorEastAsia"/>
          <w:sz w:val="32"/>
          <w:szCs w:val="32"/>
        </w:rPr>
      </w:pPr>
      <w:r>
        <w:rPr>
          <w:rFonts w:asciiTheme="minorEastAsia" w:hAnsiTheme="minorEastAsia"/>
          <w:sz w:val="32"/>
          <w:szCs w:val="32"/>
        </w:rPr>
        <w:br w:type="page"/>
      </w:r>
    </w:p>
    <w:p>
      <w:pPr>
        <w:pStyle w:val="3"/>
        <w:spacing w:before="0" w:beforeAutospacing="0" w:after="0" w:afterAutospacing="0"/>
        <w:ind w:firstLine="640" w:firstLineChars="200"/>
        <w:rPr>
          <w:rFonts w:asciiTheme="minorEastAsia" w:hAnsiTheme="minorEastAsia" w:eastAsiaTheme="minorEastAsia"/>
          <w:b/>
          <w:bCs/>
          <w:sz w:val="32"/>
          <w:szCs w:val="32"/>
        </w:rPr>
      </w:pPr>
      <w:r>
        <w:rPr>
          <w:rFonts w:hint="eastAsia" w:asciiTheme="minorEastAsia" w:hAnsiTheme="minorEastAsia" w:eastAsiaTheme="minorEastAsia"/>
          <w:sz w:val="32"/>
          <w:szCs w:val="32"/>
        </w:rPr>
        <w:t>附件1：</w:t>
      </w:r>
    </w:p>
    <w:p>
      <w:pPr>
        <w:pStyle w:val="3"/>
        <w:spacing w:before="0" w:beforeAutospacing="0" w:after="0" w:afterAutospacing="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2021年全院征兵各系网上报名分担任务数及实际征集任务数</w:t>
      </w:r>
    </w:p>
    <w:p>
      <w:pPr>
        <w:pStyle w:val="3"/>
        <w:spacing w:before="0" w:beforeAutospacing="0" w:after="0" w:afterAutospacing="0"/>
        <w:jc w:val="center"/>
        <w:rPr>
          <w:rFonts w:asciiTheme="minorEastAsia" w:hAnsiTheme="minorEastAsia" w:eastAsiaTheme="minorEastAsia"/>
          <w:b/>
          <w:bCs/>
          <w:sz w:val="32"/>
          <w:szCs w:val="32"/>
        </w:rPr>
      </w:pPr>
    </w:p>
    <w:tbl>
      <w:tblPr>
        <w:tblStyle w:val="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1393"/>
        <w:gridCol w:w="1723"/>
        <w:gridCol w:w="1819"/>
        <w:gridCol w:w="901"/>
        <w:gridCol w:w="90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23" w:type="dxa"/>
            <w:vMerge w:val="restart"/>
            <w:vAlign w:val="center"/>
          </w:tcPr>
          <w:p>
            <w:pPr>
              <w:pStyle w:val="3"/>
              <w:spacing w:before="0" w:beforeAutospacing="0" w:after="0" w:afterAutospacing="0"/>
              <w:jc w:val="center"/>
              <w:rPr>
                <w:b/>
                <w:bCs/>
                <w:sz w:val="28"/>
                <w:szCs w:val="28"/>
              </w:rPr>
            </w:pPr>
            <w:r>
              <w:rPr>
                <w:rFonts w:hint="eastAsia"/>
                <w:b/>
                <w:bCs/>
                <w:sz w:val="28"/>
                <w:szCs w:val="28"/>
              </w:rPr>
              <w:t>系别</w:t>
            </w:r>
          </w:p>
        </w:tc>
        <w:tc>
          <w:tcPr>
            <w:tcW w:w="1314" w:type="dxa"/>
            <w:vMerge w:val="restart"/>
            <w:vAlign w:val="center"/>
          </w:tcPr>
          <w:p>
            <w:pPr>
              <w:pStyle w:val="3"/>
              <w:spacing w:before="0" w:beforeAutospacing="0" w:after="0" w:afterAutospacing="0"/>
              <w:jc w:val="center"/>
              <w:rPr>
                <w:b/>
                <w:bCs/>
                <w:sz w:val="28"/>
                <w:szCs w:val="28"/>
              </w:rPr>
            </w:pPr>
            <w:r>
              <w:rPr>
                <w:rFonts w:hint="eastAsia"/>
                <w:b/>
                <w:bCs/>
                <w:sz w:val="28"/>
                <w:szCs w:val="28"/>
              </w:rPr>
              <w:t>负责人</w:t>
            </w:r>
          </w:p>
        </w:tc>
        <w:tc>
          <w:tcPr>
            <w:tcW w:w="1625" w:type="dxa"/>
            <w:vMerge w:val="restart"/>
            <w:vAlign w:val="center"/>
          </w:tcPr>
          <w:p>
            <w:pPr>
              <w:pStyle w:val="3"/>
              <w:spacing w:before="0" w:beforeAutospacing="0" w:after="0" w:afterAutospacing="0"/>
              <w:jc w:val="center"/>
              <w:rPr>
                <w:b/>
                <w:bCs/>
                <w:sz w:val="28"/>
                <w:szCs w:val="28"/>
              </w:rPr>
            </w:pPr>
            <w:r>
              <w:rPr>
                <w:rFonts w:hint="eastAsia"/>
                <w:b/>
                <w:bCs/>
                <w:sz w:val="28"/>
                <w:szCs w:val="28"/>
              </w:rPr>
              <w:t>男生总数</w:t>
            </w:r>
          </w:p>
        </w:tc>
        <w:tc>
          <w:tcPr>
            <w:tcW w:w="1715" w:type="dxa"/>
            <w:vMerge w:val="restart"/>
            <w:vAlign w:val="center"/>
          </w:tcPr>
          <w:p>
            <w:pPr>
              <w:pStyle w:val="3"/>
              <w:spacing w:before="0" w:beforeAutospacing="0" w:after="0" w:afterAutospacing="0"/>
              <w:jc w:val="center"/>
              <w:rPr>
                <w:b/>
                <w:bCs/>
                <w:sz w:val="28"/>
                <w:szCs w:val="28"/>
              </w:rPr>
            </w:pPr>
            <w:r>
              <w:rPr>
                <w:rFonts w:hint="eastAsia"/>
                <w:b/>
                <w:bCs/>
                <w:sz w:val="28"/>
                <w:szCs w:val="28"/>
              </w:rPr>
              <w:t>网上报名</w:t>
            </w:r>
          </w:p>
          <w:p>
            <w:pPr>
              <w:pStyle w:val="3"/>
              <w:spacing w:before="0" w:beforeAutospacing="0" w:after="0" w:afterAutospacing="0"/>
              <w:jc w:val="center"/>
              <w:rPr>
                <w:b/>
                <w:bCs/>
                <w:sz w:val="28"/>
                <w:szCs w:val="28"/>
              </w:rPr>
            </w:pPr>
            <w:r>
              <w:rPr>
                <w:rFonts w:hint="eastAsia"/>
                <w:b/>
                <w:bCs/>
                <w:sz w:val="28"/>
                <w:szCs w:val="28"/>
              </w:rPr>
              <w:t>分担任务数</w:t>
            </w:r>
          </w:p>
        </w:tc>
        <w:tc>
          <w:tcPr>
            <w:tcW w:w="850" w:type="dxa"/>
            <w:gridSpan w:val="3"/>
            <w:vAlign w:val="center"/>
          </w:tcPr>
          <w:p>
            <w:pPr>
              <w:pStyle w:val="3"/>
              <w:spacing w:before="0" w:beforeAutospacing="0" w:after="0" w:afterAutospacing="0"/>
              <w:jc w:val="center"/>
              <w:rPr>
                <w:b/>
                <w:bCs/>
                <w:sz w:val="28"/>
                <w:szCs w:val="28"/>
              </w:rPr>
            </w:pPr>
            <w:r>
              <w:rPr>
                <w:rFonts w:hint="eastAsia"/>
                <w:b/>
                <w:bCs/>
                <w:sz w:val="28"/>
                <w:szCs w:val="28"/>
              </w:rPr>
              <w:t>实际征集任务数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23" w:type="dxa"/>
            <w:vMerge w:val="continue"/>
            <w:vAlign w:val="center"/>
          </w:tcPr>
          <w:p>
            <w:pPr>
              <w:pStyle w:val="3"/>
              <w:spacing w:before="0" w:beforeAutospacing="0" w:after="0" w:afterAutospacing="0"/>
              <w:jc w:val="center"/>
              <w:rPr>
                <w:b/>
                <w:bCs/>
                <w:sz w:val="22"/>
                <w:szCs w:val="22"/>
              </w:rPr>
            </w:pPr>
          </w:p>
        </w:tc>
        <w:tc>
          <w:tcPr>
            <w:tcW w:w="1314" w:type="dxa"/>
            <w:vMerge w:val="continue"/>
            <w:vAlign w:val="center"/>
          </w:tcPr>
          <w:p>
            <w:pPr>
              <w:pStyle w:val="3"/>
              <w:spacing w:before="0" w:beforeAutospacing="0" w:after="0" w:afterAutospacing="0"/>
              <w:jc w:val="center"/>
              <w:rPr>
                <w:b/>
                <w:bCs/>
                <w:sz w:val="22"/>
                <w:szCs w:val="22"/>
              </w:rPr>
            </w:pPr>
          </w:p>
        </w:tc>
        <w:tc>
          <w:tcPr>
            <w:tcW w:w="1625" w:type="dxa"/>
            <w:vMerge w:val="continue"/>
            <w:vAlign w:val="center"/>
          </w:tcPr>
          <w:p>
            <w:pPr>
              <w:pStyle w:val="3"/>
              <w:spacing w:before="0" w:beforeAutospacing="0" w:after="0" w:afterAutospacing="0"/>
              <w:jc w:val="center"/>
              <w:rPr>
                <w:b/>
                <w:bCs/>
                <w:sz w:val="22"/>
                <w:szCs w:val="22"/>
              </w:rPr>
            </w:pPr>
          </w:p>
        </w:tc>
        <w:tc>
          <w:tcPr>
            <w:tcW w:w="1715" w:type="dxa"/>
            <w:vMerge w:val="continue"/>
            <w:vAlign w:val="center"/>
          </w:tcPr>
          <w:p>
            <w:pPr>
              <w:pStyle w:val="3"/>
              <w:spacing w:before="0" w:beforeAutospacing="0" w:after="0" w:afterAutospacing="0"/>
              <w:jc w:val="center"/>
              <w:rPr>
                <w:b/>
                <w:bCs/>
                <w:sz w:val="22"/>
                <w:szCs w:val="22"/>
              </w:rPr>
            </w:pPr>
          </w:p>
        </w:tc>
        <w:tc>
          <w:tcPr>
            <w:tcW w:w="850" w:type="dxa"/>
            <w:vAlign w:val="center"/>
          </w:tcPr>
          <w:p>
            <w:pPr>
              <w:pStyle w:val="3"/>
              <w:spacing w:before="0" w:beforeAutospacing="0" w:after="0" w:afterAutospacing="0"/>
              <w:jc w:val="center"/>
              <w:rPr>
                <w:b/>
                <w:bCs/>
                <w:sz w:val="22"/>
                <w:szCs w:val="22"/>
              </w:rPr>
            </w:pPr>
            <w:r>
              <w:rPr>
                <w:rFonts w:hint="eastAsia"/>
                <w:b/>
                <w:bCs/>
                <w:sz w:val="22"/>
                <w:szCs w:val="22"/>
              </w:rPr>
              <w:t>18级</w:t>
            </w:r>
          </w:p>
          <w:p>
            <w:pPr>
              <w:pStyle w:val="3"/>
              <w:spacing w:before="0" w:beforeAutospacing="0" w:after="0" w:afterAutospacing="0"/>
              <w:jc w:val="center"/>
              <w:rPr>
                <w:b/>
                <w:bCs/>
                <w:sz w:val="22"/>
                <w:szCs w:val="22"/>
              </w:rPr>
            </w:pPr>
            <w:r>
              <w:rPr>
                <w:rFonts w:hint="eastAsia"/>
                <w:b/>
                <w:bCs/>
                <w:sz w:val="22"/>
                <w:szCs w:val="22"/>
              </w:rPr>
              <w:t>毕业生</w:t>
            </w:r>
          </w:p>
        </w:tc>
        <w:tc>
          <w:tcPr>
            <w:tcW w:w="850" w:type="dxa"/>
            <w:vAlign w:val="center"/>
          </w:tcPr>
          <w:p>
            <w:pPr>
              <w:pStyle w:val="3"/>
              <w:spacing w:before="0" w:beforeAutospacing="0" w:after="0" w:afterAutospacing="0"/>
              <w:jc w:val="center"/>
              <w:rPr>
                <w:b/>
                <w:bCs/>
                <w:sz w:val="22"/>
                <w:szCs w:val="22"/>
              </w:rPr>
            </w:pPr>
            <w:r>
              <w:rPr>
                <w:rFonts w:hint="eastAsia"/>
                <w:b/>
                <w:bCs/>
                <w:sz w:val="22"/>
                <w:szCs w:val="22"/>
              </w:rPr>
              <w:t>在校生</w:t>
            </w:r>
          </w:p>
        </w:tc>
        <w:tc>
          <w:tcPr>
            <w:tcW w:w="850" w:type="dxa"/>
            <w:vAlign w:val="center"/>
          </w:tcPr>
          <w:p>
            <w:pPr>
              <w:pStyle w:val="3"/>
              <w:spacing w:before="0" w:beforeAutospacing="0" w:after="0" w:afterAutospacing="0"/>
              <w:jc w:val="center"/>
              <w:rPr>
                <w:b/>
                <w:bCs/>
                <w:sz w:val="22"/>
                <w:szCs w:val="22"/>
              </w:rPr>
            </w:pPr>
            <w:r>
              <w:rPr>
                <w:rFonts w:hint="eastAsia"/>
                <w:b/>
                <w:bCs/>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智能制造系</w:t>
            </w:r>
          </w:p>
        </w:tc>
        <w:tc>
          <w:tcPr>
            <w:tcW w:w="1314" w:type="dxa"/>
            <w:vAlign w:val="center"/>
          </w:tcPr>
          <w:p>
            <w:pPr>
              <w:pStyle w:val="3"/>
              <w:spacing w:before="0" w:beforeAutospacing="0" w:after="0" w:afterAutospacing="0"/>
              <w:jc w:val="center"/>
              <w:rPr>
                <w:sz w:val="28"/>
                <w:szCs w:val="28"/>
              </w:rPr>
            </w:pPr>
            <w:r>
              <w:rPr>
                <w:rFonts w:hint="eastAsia"/>
                <w:sz w:val="28"/>
                <w:szCs w:val="28"/>
              </w:rPr>
              <w:t>齐付普</w:t>
            </w:r>
          </w:p>
        </w:tc>
        <w:tc>
          <w:tcPr>
            <w:tcW w:w="1625" w:type="dxa"/>
            <w:vAlign w:val="center"/>
          </w:tcPr>
          <w:p>
            <w:pPr>
              <w:pStyle w:val="3"/>
              <w:spacing w:before="0" w:beforeAutospacing="0" w:after="0" w:afterAutospacing="0"/>
              <w:jc w:val="center"/>
              <w:rPr>
                <w:sz w:val="28"/>
                <w:szCs w:val="28"/>
              </w:rPr>
            </w:pPr>
            <w:r>
              <w:rPr>
                <w:rFonts w:hint="eastAsia"/>
                <w:sz w:val="28"/>
                <w:szCs w:val="28"/>
              </w:rPr>
              <w:t>724</w:t>
            </w:r>
          </w:p>
        </w:tc>
        <w:tc>
          <w:tcPr>
            <w:tcW w:w="1715" w:type="dxa"/>
            <w:vAlign w:val="center"/>
          </w:tcPr>
          <w:p>
            <w:pPr>
              <w:pStyle w:val="3"/>
              <w:spacing w:before="0" w:beforeAutospacing="0" w:after="0" w:afterAutospacing="0"/>
              <w:jc w:val="center"/>
              <w:rPr>
                <w:sz w:val="28"/>
                <w:szCs w:val="28"/>
              </w:rPr>
            </w:pPr>
            <w:r>
              <w:rPr>
                <w:rFonts w:hint="eastAsia"/>
                <w:sz w:val="28"/>
                <w:szCs w:val="28"/>
              </w:rPr>
              <w:t>78</w:t>
            </w:r>
          </w:p>
        </w:tc>
        <w:tc>
          <w:tcPr>
            <w:tcW w:w="850" w:type="dxa"/>
            <w:vAlign w:val="center"/>
          </w:tcPr>
          <w:p>
            <w:pPr>
              <w:pStyle w:val="3"/>
              <w:spacing w:before="0" w:beforeAutospacing="0" w:after="0" w:afterAutospacing="0"/>
              <w:jc w:val="center"/>
              <w:rPr>
                <w:sz w:val="28"/>
                <w:szCs w:val="28"/>
              </w:rPr>
            </w:pPr>
            <w:r>
              <w:rPr>
                <w:rFonts w:hint="eastAsia"/>
                <w:sz w:val="28"/>
                <w:szCs w:val="28"/>
              </w:rPr>
              <w:t>3</w:t>
            </w:r>
          </w:p>
        </w:tc>
        <w:tc>
          <w:tcPr>
            <w:tcW w:w="850" w:type="dxa"/>
            <w:vAlign w:val="center"/>
          </w:tcPr>
          <w:p>
            <w:pPr>
              <w:pStyle w:val="3"/>
              <w:spacing w:before="0" w:beforeAutospacing="0" w:after="0" w:afterAutospacing="0"/>
              <w:jc w:val="center"/>
              <w:rPr>
                <w:sz w:val="28"/>
                <w:szCs w:val="28"/>
              </w:rPr>
            </w:pPr>
            <w:r>
              <w:rPr>
                <w:rFonts w:hint="eastAsia"/>
                <w:sz w:val="28"/>
                <w:szCs w:val="28"/>
              </w:rPr>
              <w:t>10</w:t>
            </w:r>
          </w:p>
        </w:tc>
        <w:tc>
          <w:tcPr>
            <w:tcW w:w="850" w:type="dxa"/>
            <w:vAlign w:val="center"/>
          </w:tcPr>
          <w:p>
            <w:pPr>
              <w:pStyle w:val="3"/>
              <w:spacing w:before="0" w:beforeAutospacing="0" w:after="0" w:afterAutospacing="0"/>
              <w:jc w:val="center"/>
              <w:rPr>
                <w:sz w:val="28"/>
                <w:szCs w:val="28"/>
              </w:rPr>
            </w:pPr>
            <w:r>
              <w:rPr>
                <w:rFonts w:hint="eastAsia"/>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电子信息系</w:t>
            </w:r>
          </w:p>
        </w:tc>
        <w:tc>
          <w:tcPr>
            <w:tcW w:w="1314" w:type="dxa"/>
            <w:vAlign w:val="center"/>
          </w:tcPr>
          <w:p>
            <w:pPr>
              <w:pStyle w:val="3"/>
              <w:spacing w:before="0" w:beforeAutospacing="0" w:after="0" w:afterAutospacing="0"/>
              <w:jc w:val="center"/>
              <w:rPr>
                <w:sz w:val="28"/>
                <w:szCs w:val="28"/>
              </w:rPr>
            </w:pPr>
            <w:r>
              <w:rPr>
                <w:rFonts w:hint="eastAsia"/>
                <w:sz w:val="28"/>
                <w:szCs w:val="28"/>
              </w:rPr>
              <w:t>赵民</w:t>
            </w:r>
          </w:p>
        </w:tc>
        <w:tc>
          <w:tcPr>
            <w:tcW w:w="1625" w:type="dxa"/>
            <w:vAlign w:val="center"/>
          </w:tcPr>
          <w:p>
            <w:pPr>
              <w:pStyle w:val="3"/>
              <w:spacing w:before="0" w:beforeAutospacing="0" w:after="0" w:afterAutospacing="0"/>
              <w:jc w:val="center"/>
              <w:rPr>
                <w:sz w:val="28"/>
                <w:szCs w:val="28"/>
              </w:rPr>
            </w:pPr>
            <w:r>
              <w:rPr>
                <w:rFonts w:hint="eastAsia"/>
                <w:sz w:val="28"/>
                <w:szCs w:val="28"/>
              </w:rPr>
              <w:t>449</w:t>
            </w:r>
          </w:p>
        </w:tc>
        <w:tc>
          <w:tcPr>
            <w:tcW w:w="1715" w:type="dxa"/>
            <w:vAlign w:val="center"/>
          </w:tcPr>
          <w:p>
            <w:pPr>
              <w:pStyle w:val="3"/>
              <w:spacing w:before="0" w:beforeAutospacing="0" w:after="0" w:afterAutospacing="0"/>
              <w:jc w:val="center"/>
              <w:rPr>
                <w:sz w:val="28"/>
                <w:szCs w:val="28"/>
              </w:rPr>
            </w:pPr>
            <w:r>
              <w:rPr>
                <w:rFonts w:hint="eastAsia"/>
                <w:sz w:val="28"/>
                <w:szCs w:val="28"/>
              </w:rPr>
              <w:t>54</w:t>
            </w:r>
          </w:p>
        </w:tc>
        <w:tc>
          <w:tcPr>
            <w:tcW w:w="850" w:type="dxa"/>
            <w:vAlign w:val="center"/>
          </w:tcPr>
          <w:p>
            <w:pPr>
              <w:pStyle w:val="3"/>
              <w:spacing w:before="0" w:beforeAutospacing="0" w:after="0" w:afterAutospacing="0"/>
              <w:jc w:val="center"/>
              <w:rPr>
                <w:sz w:val="28"/>
                <w:szCs w:val="28"/>
              </w:rPr>
            </w:pPr>
            <w:r>
              <w:rPr>
                <w:rFonts w:hint="eastAsia"/>
                <w:sz w:val="28"/>
                <w:szCs w:val="28"/>
              </w:rPr>
              <w:t>1</w:t>
            </w:r>
          </w:p>
        </w:tc>
        <w:tc>
          <w:tcPr>
            <w:tcW w:w="850" w:type="dxa"/>
            <w:vAlign w:val="center"/>
          </w:tcPr>
          <w:p>
            <w:pPr>
              <w:pStyle w:val="3"/>
              <w:spacing w:before="0" w:beforeAutospacing="0" w:after="0" w:afterAutospacing="0"/>
              <w:jc w:val="center"/>
              <w:rPr>
                <w:sz w:val="28"/>
                <w:szCs w:val="28"/>
              </w:rPr>
            </w:pPr>
            <w:r>
              <w:rPr>
                <w:rFonts w:hint="eastAsia"/>
                <w:sz w:val="28"/>
                <w:szCs w:val="28"/>
              </w:rPr>
              <w:t>8</w:t>
            </w:r>
          </w:p>
        </w:tc>
        <w:tc>
          <w:tcPr>
            <w:tcW w:w="850" w:type="dxa"/>
            <w:vAlign w:val="center"/>
          </w:tcPr>
          <w:p>
            <w:pPr>
              <w:pStyle w:val="3"/>
              <w:spacing w:before="0" w:beforeAutospacing="0" w:after="0" w:afterAutospacing="0"/>
              <w:jc w:val="center"/>
              <w:rPr>
                <w:sz w:val="28"/>
                <w:szCs w:val="28"/>
              </w:rPr>
            </w:pPr>
            <w:r>
              <w:rPr>
                <w:rFonts w:hint="eastAsia"/>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汽车工程系</w:t>
            </w:r>
          </w:p>
        </w:tc>
        <w:tc>
          <w:tcPr>
            <w:tcW w:w="1314" w:type="dxa"/>
            <w:vAlign w:val="center"/>
          </w:tcPr>
          <w:p>
            <w:pPr>
              <w:pStyle w:val="3"/>
              <w:spacing w:before="0" w:beforeAutospacing="0" w:after="0" w:afterAutospacing="0"/>
              <w:jc w:val="center"/>
              <w:rPr>
                <w:sz w:val="28"/>
                <w:szCs w:val="28"/>
              </w:rPr>
            </w:pPr>
            <w:r>
              <w:rPr>
                <w:rFonts w:hint="eastAsia"/>
                <w:sz w:val="28"/>
                <w:szCs w:val="28"/>
              </w:rPr>
              <w:t>王占亮</w:t>
            </w:r>
          </w:p>
        </w:tc>
        <w:tc>
          <w:tcPr>
            <w:tcW w:w="1625" w:type="dxa"/>
            <w:vAlign w:val="center"/>
          </w:tcPr>
          <w:p>
            <w:pPr>
              <w:pStyle w:val="3"/>
              <w:spacing w:before="0" w:beforeAutospacing="0" w:after="0" w:afterAutospacing="0"/>
              <w:jc w:val="center"/>
              <w:rPr>
                <w:sz w:val="28"/>
                <w:szCs w:val="28"/>
              </w:rPr>
            </w:pPr>
            <w:r>
              <w:rPr>
                <w:rFonts w:hint="eastAsia"/>
                <w:sz w:val="28"/>
                <w:szCs w:val="28"/>
              </w:rPr>
              <w:t>327</w:t>
            </w:r>
          </w:p>
        </w:tc>
        <w:tc>
          <w:tcPr>
            <w:tcW w:w="1715" w:type="dxa"/>
            <w:vAlign w:val="center"/>
          </w:tcPr>
          <w:p>
            <w:pPr>
              <w:pStyle w:val="3"/>
              <w:spacing w:before="0" w:beforeAutospacing="0" w:after="0" w:afterAutospacing="0"/>
              <w:jc w:val="center"/>
              <w:rPr>
                <w:sz w:val="28"/>
                <w:szCs w:val="28"/>
              </w:rPr>
            </w:pPr>
            <w:r>
              <w:rPr>
                <w:rFonts w:hint="eastAsia"/>
                <w:sz w:val="28"/>
                <w:szCs w:val="28"/>
              </w:rPr>
              <w:t>42</w:t>
            </w:r>
          </w:p>
        </w:tc>
        <w:tc>
          <w:tcPr>
            <w:tcW w:w="850" w:type="dxa"/>
            <w:vAlign w:val="center"/>
          </w:tcPr>
          <w:p>
            <w:pPr>
              <w:pStyle w:val="3"/>
              <w:spacing w:before="0" w:beforeAutospacing="0" w:after="0" w:afterAutospacing="0"/>
              <w:jc w:val="center"/>
              <w:rPr>
                <w:sz w:val="28"/>
                <w:szCs w:val="28"/>
              </w:rPr>
            </w:pPr>
            <w:r>
              <w:rPr>
                <w:rFonts w:hint="eastAsia"/>
                <w:sz w:val="28"/>
                <w:szCs w:val="28"/>
              </w:rPr>
              <w:t>1</w:t>
            </w:r>
          </w:p>
        </w:tc>
        <w:tc>
          <w:tcPr>
            <w:tcW w:w="850" w:type="dxa"/>
            <w:vAlign w:val="center"/>
          </w:tcPr>
          <w:p>
            <w:pPr>
              <w:pStyle w:val="3"/>
              <w:spacing w:before="0" w:beforeAutospacing="0" w:after="0" w:afterAutospacing="0"/>
              <w:jc w:val="center"/>
              <w:rPr>
                <w:sz w:val="28"/>
                <w:szCs w:val="28"/>
              </w:rPr>
            </w:pPr>
            <w:r>
              <w:rPr>
                <w:rFonts w:hint="eastAsia"/>
                <w:sz w:val="28"/>
                <w:szCs w:val="28"/>
              </w:rPr>
              <w:t>6</w:t>
            </w:r>
          </w:p>
        </w:tc>
        <w:tc>
          <w:tcPr>
            <w:tcW w:w="850" w:type="dxa"/>
            <w:vAlign w:val="center"/>
          </w:tcPr>
          <w:p>
            <w:pPr>
              <w:pStyle w:val="3"/>
              <w:spacing w:before="0" w:beforeAutospacing="0" w:after="0" w:afterAutospacing="0"/>
              <w:jc w:val="center"/>
              <w:rPr>
                <w:sz w:val="28"/>
                <w:szCs w:val="28"/>
              </w:rPr>
            </w:pPr>
            <w:r>
              <w:rPr>
                <w:rFonts w:hint="eastAsia"/>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商贸管理系</w:t>
            </w:r>
          </w:p>
        </w:tc>
        <w:tc>
          <w:tcPr>
            <w:tcW w:w="1314" w:type="dxa"/>
            <w:vAlign w:val="center"/>
          </w:tcPr>
          <w:p>
            <w:pPr>
              <w:pStyle w:val="3"/>
              <w:spacing w:before="0" w:beforeAutospacing="0" w:after="0" w:afterAutospacing="0"/>
              <w:jc w:val="center"/>
              <w:rPr>
                <w:sz w:val="28"/>
                <w:szCs w:val="28"/>
              </w:rPr>
            </w:pPr>
            <w:r>
              <w:rPr>
                <w:rFonts w:hint="eastAsia"/>
                <w:sz w:val="28"/>
                <w:szCs w:val="28"/>
              </w:rPr>
              <w:t>郭晓薇</w:t>
            </w:r>
          </w:p>
        </w:tc>
        <w:tc>
          <w:tcPr>
            <w:tcW w:w="1625" w:type="dxa"/>
            <w:vAlign w:val="center"/>
          </w:tcPr>
          <w:p>
            <w:pPr>
              <w:pStyle w:val="3"/>
              <w:spacing w:before="0" w:beforeAutospacing="0" w:after="0" w:afterAutospacing="0"/>
              <w:jc w:val="center"/>
              <w:rPr>
                <w:sz w:val="28"/>
                <w:szCs w:val="28"/>
              </w:rPr>
            </w:pPr>
            <w:r>
              <w:rPr>
                <w:rFonts w:hint="eastAsia"/>
                <w:sz w:val="28"/>
                <w:szCs w:val="28"/>
              </w:rPr>
              <w:t>240</w:t>
            </w:r>
          </w:p>
        </w:tc>
        <w:tc>
          <w:tcPr>
            <w:tcW w:w="1715" w:type="dxa"/>
            <w:vAlign w:val="center"/>
          </w:tcPr>
          <w:p>
            <w:pPr>
              <w:pStyle w:val="3"/>
              <w:spacing w:before="0" w:beforeAutospacing="0" w:after="0" w:afterAutospacing="0"/>
              <w:jc w:val="center"/>
              <w:rPr>
                <w:sz w:val="28"/>
                <w:szCs w:val="28"/>
              </w:rPr>
            </w:pPr>
            <w:r>
              <w:rPr>
                <w:rFonts w:hint="eastAsia"/>
                <w:sz w:val="28"/>
                <w:szCs w:val="28"/>
              </w:rPr>
              <w:t>30</w:t>
            </w:r>
          </w:p>
        </w:tc>
        <w:tc>
          <w:tcPr>
            <w:tcW w:w="850" w:type="dxa"/>
            <w:vAlign w:val="center"/>
          </w:tcPr>
          <w:p>
            <w:pPr>
              <w:pStyle w:val="3"/>
              <w:spacing w:before="0" w:beforeAutospacing="0" w:after="0" w:afterAutospacing="0"/>
              <w:jc w:val="center"/>
              <w:rPr>
                <w:sz w:val="28"/>
                <w:szCs w:val="28"/>
              </w:rPr>
            </w:pPr>
            <w:r>
              <w:rPr>
                <w:rFonts w:hint="eastAsia"/>
                <w:sz w:val="28"/>
                <w:szCs w:val="28"/>
              </w:rPr>
              <w:t>2</w:t>
            </w:r>
          </w:p>
        </w:tc>
        <w:tc>
          <w:tcPr>
            <w:tcW w:w="850" w:type="dxa"/>
            <w:vAlign w:val="center"/>
          </w:tcPr>
          <w:p>
            <w:pPr>
              <w:pStyle w:val="3"/>
              <w:spacing w:before="0" w:beforeAutospacing="0" w:after="0" w:afterAutospacing="0"/>
              <w:jc w:val="center"/>
              <w:rPr>
                <w:sz w:val="28"/>
                <w:szCs w:val="28"/>
              </w:rPr>
            </w:pPr>
            <w:r>
              <w:rPr>
                <w:rFonts w:hint="eastAsia"/>
                <w:sz w:val="28"/>
                <w:szCs w:val="28"/>
              </w:rPr>
              <w:t>3</w:t>
            </w:r>
          </w:p>
        </w:tc>
        <w:tc>
          <w:tcPr>
            <w:tcW w:w="850" w:type="dxa"/>
            <w:vAlign w:val="center"/>
          </w:tcPr>
          <w:p>
            <w:pPr>
              <w:pStyle w:val="3"/>
              <w:spacing w:before="0" w:beforeAutospacing="0" w:after="0" w:afterAutospacing="0"/>
              <w:jc w:val="center"/>
              <w:rPr>
                <w:sz w:val="28"/>
                <w:szCs w:val="28"/>
              </w:rPr>
            </w:pPr>
            <w:r>
              <w:rPr>
                <w:rFonts w:hint="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津承艺术</w:t>
            </w:r>
          </w:p>
          <w:p>
            <w:pPr>
              <w:pStyle w:val="3"/>
              <w:spacing w:before="0" w:beforeAutospacing="0" w:after="0" w:afterAutospacing="0"/>
              <w:jc w:val="center"/>
              <w:rPr>
                <w:b/>
                <w:bCs/>
                <w:sz w:val="28"/>
                <w:szCs w:val="28"/>
              </w:rPr>
            </w:pPr>
            <w:r>
              <w:rPr>
                <w:rFonts w:hint="eastAsia"/>
                <w:b/>
                <w:bCs/>
                <w:sz w:val="28"/>
                <w:szCs w:val="28"/>
              </w:rPr>
              <w:t>设计学院</w:t>
            </w:r>
          </w:p>
        </w:tc>
        <w:tc>
          <w:tcPr>
            <w:tcW w:w="1314" w:type="dxa"/>
            <w:vAlign w:val="center"/>
          </w:tcPr>
          <w:p>
            <w:pPr>
              <w:pStyle w:val="3"/>
              <w:spacing w:before="0" w:beforeAutospacing="0" w:after="0" w:afterAutospacing="0"/>
              <w:jc w:val="center"/>
              <w:rPr>
                <w:sz w:val="28"/>
                <w:szCs w:val="28"/>
              </w:rPr>
            </w:pPr>
            <w:r>
              <w:rPr>
                <w:rFonts w:hint="eastAsia"/>
                <w:sz w:val="28"/>
                <w:szCs w:val="28"/>
              </w:rPr>
              <w:t>杨春晖</w:t>
            </w:r>
          </w:p>
        </w:tc>
        <w:tc>
          <w:tcPr>
            <w:tcW w:w="1625" w:type="dxa"/>
            <w:vAlign w:val="center"/>
          </w:tcPr>
          <w:p>
            <w:pPr>
              <w:pStyle w:val="3"/>
              <w:spacing w:before="0" w:beforeAutospacing="0" w:after="0" w:afterAutospacing="0"/>
              <w:jc w:val="center"/>
              <w:rPr>
                <w:sz w:val="28"/>
                <w:szCs w:val="28"/>
              </w:rPr>
            </w:pPr>
            <w:r>
              <w:rPr>
                <w:rFonts w:hint="eastAsia"/>
                <w:sz w:val="28"/>
                <w:szCs w:val="28"/>
              </w:rPr>
              <w:t>105</w:t>
            </w:r>
          </w:p>
        </w:tc>
        <w:tc>
          <w:tcPr>
            <w:tcW w:w="1715" w:type="dxa"/>
            <w:vAlign w:val="center"/>
          </w:tcPr>
          <w:p>
            <w:pPr>
              <w:pStyle w:val="3"/>
              <w:spacing w:before="0" w:beforeAutospacing="0" w:after="0" w:afterAutospacing="0"/>
              <w:jc w:val="center"/>
              <w:rPr>
                <w:sz w:val="28"/>
                <w:szCs w:val="28"/>
              </w:rPr>
            </w:pPr>
            <w:r>
              <w:rPr>
                <w:rFonts w:hint="eastAsia"/>
                <w:sz w:val="28"/>
                <w:szCs w:val="28"/>
              </w:rPr>
              <w:t>18</w:t>
            </w:r>
          </w:p>
        </w:tc>
        <w:tc>
          <w:tcPr>
            <w:tcW w:w="850" w:type="dxa"/>
            <w:vAlign w:val="center"/>
          </w:tcPr>
          <w:p>
            <w:pPr>
              <w:pStyle w:val="3"/>
              <w:spacing w:before="0" w:beforeAutospacing="0" w:after="0" w:afterAutospacing="0"/>
              <w:jc w:val="center"/>
              <w:rPr>
                <w:sz w:val="28"/>
                <w:szCs w:val="28"/>
              </w:rPr>
            </w:pPr>
            <w:r>
              <w:rPr>
                <w:rFonts w:hint="eastAsia"/>
                <w:sz w:val="28"/>
                <w:szCs w:val="28"/>
              </w:rPr>
              <w:t>0</w:t>
            </w:r>
          </w:p>
        </w:tc>
        <w:tc>
          <w:tcPr>
            <w:tcW w:w="850" w:type="dxa"/>
            <w:vAlign w:val="center"/>
          </w:tcPr>
          <w:p>
            <w:pPr>
              <w:pStyle w:val="3"/>
              <w:spacing w:before="0" w:beforeAutospacing="0" w:after="0" w:afterAutospacing="0"/>
              <w:jc w:val="center"/>
              <w:rPr>
                <w:sz w:val="28"/>
                <w:szCs w:val="28"/>
              </w:rPr>
            </w:pPr>
            <w:r>
              <w:rPr>
                <w:rFonts w:hint="eastAsia"/>
                <w:sz w:val="28"/>
                <w:szCs w:val="28"/>
              </w:rPr>
              <w:t>3</w:t>
            </w:r>
          </w:p>
        </w:tc>
        <w:tc>
          <w:tcPr>
            <w:tcW w:w="850" w:type="dxa"/>
            <w:vAlign w:val="center"/>
          </w:tcPr>
          <w:p>
            <w:pPr>
              <w:pStyle w:val="3"/>
              <w:spacing w:before="0" w:beforeAutospacing="0" w:after="0" w:afterAutospacing="0"/>
              <w:jc w:val="center"/>
              <w:rPr>
                <w:sz w:val="28"/>
                <w:szCs w:val="28"/>
              </w:rPr>
            </w:pPr>
            <w:r>
              <w:rPr>
                <w:rFonts w:hint="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3137" w:type="dxa"/>
            <w:gridSpan w:val="2"/>
            <w:vAlign w:val="center"/>
          </w:tcPr>
          <w:p>
            <w:pPr>
              <w:pStyle w:val="3"/>
              <w:spacing w:before="0" w:beforeAutospacing="0" w:after="0" w:afterAutospacing="0"/>
              <w:jc w:val="center"/>
              <w:rPr>
                <w:sz w:val="28"/>
                <w:szCs w:val="28"/>
              </w:rPr>
            </w:pPr>
            <w:r>
              <w:rPr>
                <w:rFonts w:hint="eastAsia"/>
                <w:b/>
                <w:bCs/>
                <w:sz w:val="28"/>
                <w:szCs w:val="28"/>
              </w:rPr>
              <w:t>总计</w:t>
            </w:r>
          </w:p>
        </w:tc>
        <w:tc>
          <w:tcPr>
            <w:tcW w:w="1625" w:type="dxa"/>
            <w:vAlign w:val="center"/>
          </w:tcPr>
          <w:p>
            <w:pPr>
              <w:pStyle w:val="3"/>
              <w:spacing w:before="0" w:beforeAutospacing="0" w:after="0" w:afterAutospacing="0"/>
              <w:jc w:val="center"/>
              <w:rPr>
                <w:sz w:val="28"/>
                <w:szCs w:val="28"/>
              </w:rPr>
            </w:pPr>
            <w:r>
              <w:rPr>
                <w:rFonts w:hint="eastAsia"/>
                <w:sz w:val="28"/>
                <w:szCs w:val="28"/>
              </w:rPr>
              <w:t>1850</w:t>
            </w:r>
          </w:p>
        </w:tc>
        <w:tc>
          <w:tcPr>
            <w:tcW w:w="1715" w:type="dxa"/>
            <w:vAlign w:val="center"/>
          </w:tcPr>
          <w:p>
            <w:pPr>
              <w:pStyle w:val="3"/>
              <w:spacing w:before="0" w:beforeAutospacing="0" w:after="0" w:afterAutospacing="0"/>
              <w:jc w:val="center"/>
              <w:rPr>
                <w:sz w:val="28"/>
                <w:szCs w:val="28"/>
              </w:rPr>
            </w:pPr>
            <w:r>
              <w:rPr>
                <w:rFonts w:hint="eastAsia"/>
                <w:sz w:val="28"/>
                <w:szCs w:val="28"/>
              </w:rPr>
              <w:t>222</w:t>
            </w:r>
          </w:p>
        </w:tc>
        <w:tc>
          <w:tcPr>
            <w:tcW w:w="850" w:type="dxa"/>
            <w:vAlign w:val="center"/>
          </w:tcPr>
          <w:p>
            <w:pPr>
              <w:pStyle w:val="3"/>
              <w:spacing w:before="0" w:beforeAutospacing="0" w:after="0" w:afterAutospacing="0"/>
              <w:jc w:val="center"/>
              <w:rPr>
                <w:sz w:val="28"/>
                <w:szCs w:val="28"/>
              </w:rPr>
            </w:pPr>
            <w:r>
              <w:rPr>
                <w:rFonts w:hint="eastAsia"/>
                <w:sz w:val="28"/>
                <w:szCs w:val="28"/>
              </w:rPr>
              <w:t>7</w:t>
            </w:r>
          </w:p>
        </w:tc>
        <w:tc>
          <w:tcPr>
            <w:tcW w:w="850" w:type="dxa"/>
            <w:vAlign w:val="center"/>
          </w:tcPr>
          <w:p>
            <w:pPr>
              <w:pStyle w:val="3"/>
              <w:spacing w:before="0" w:beforeAutospacing="0" w:after="0" w:afterAutospacing="0"/>
              <w:jc w:val="center"/>
              <w:rPr>
                <w:sz w:val="28"/>
                <w:szCs w:val="28"/>
              </w:rPr>
            </w:pPr>
            <w:r>
              <w:rPr>
                <w:rFonts w:hint="eastAsia"/>
                <w:sz w:val="28"/>
                <w:szCs w:val="28"/>
              </w:rPr>
              <w:t>30</w:t>
            </w:r>
          </w:p>
        </w:tc>
        <w:tc>
          <w:tcPr>
            <w:tcW w:w="850" w:type="dxa"/>
            <w:vAlign w:val="center"/>
          </w:tcPr>
          <w:p>
            <w:pPr>
              <w:pStyle w:val="3"/>
              <w:spacing w:before="0" w:beforeAutospacing="0" w:after="0" w:afterAutospacing="0"/>
              <w:jc w:val="center"/>
              <w:rPr>
                <w:sz w:val="28"/>
                <w:szCs w:val="28"/>
              </w:rPr>
            </w:pPr>
            <w:r>
              <w:rPr>
                <w:rFonts w:hint="eastAsia"/>
                <w:sz w:val="28"/>
                <w:szCs w:val="28"/>
              </w:rPr>
              <w:t>37</w:t>
            </w:r>
          </w:p>
        </w:tc>
      </w:tr>
    </w:tbl>
    <w:p>
      <w:pPr>
        <w:pStyle w:val="3"/>
        <w:spacing w:before="0" w:beforeAutospacing="0" w:after="0" w:afterAutospacing="0"/>
        <w:ind w:firstLine="640" w:firstLineChars="200"/>
        <w:rPr>
          <w:rFonts w:asciiTheme="minorEastAsia" w:hAnsiTheme="minorEastAsia" w:eastAsiaTheme="minorEastAsia"/>
          <w:sz w:val="32"/>
          <w:szCs w:val="32"/>
        </w:rPr>
      </w:pPr>
    </w:p>
    <w:p>
      <w:pPr>
        <w:pStyle w:val="3"/>
        <w:spacing w:before="0" w:beforeAutospacing="0" w:after="0" w:afterAutospacing="0"/>
        <w:rPr>
          <w:rFonts w:asciiTheme="minorEastAsia" w:hAnsiTheme="minorEastAsia" w:eastAsiaTheme="minorEastAsia"/>
          <w:sz w:val="32"/>
          <w:szCs w:val="32"/>
        </w:rPr>
      </w:pPr>
    </w:p>
    <w:p>
      <w:pPr>
        <w:rPr>
          <w:rFonts w:ascii="宋体" w:hAnsi="宋体" w:eastAsia="宋体" w:cs="黑体"/>
          <w:sz w:val="32"/>
          <w:szCs w:val="32"/>
        </w:rPr>
      </w:pPr>
      <w:r>
        <w:rPr>
          <w:rFonts w:ascii="宋体" w:hAnsi="宋体" w:eastAsia="宋体" w:cs="黑体"/>
          <w:b/>
          <w:color w:val="0070C0"/>
          <w:sz w:val="44"/>
          <w:szCs w:val="44"/>
        </w:rPr>
        <w:br w:type="page"/>
      </w:r>
      <w:r>
        <w:rPr>
          <w:rFonts w:hint="eastAsia" w:ascii="宋体" w:hAnsi="宋体" w:eastAsia="宋体" w:cs="黑体"/>
          <w:sz w:val="32"/>
          <w:szCs w:val="32"/>
        </w:rPr>
        <w:t>附件2：</w:t>
      </w:r>
    </w:p>
    <w:p>
      <w:pPr>
        <w:pStyle w:val="3"/>
        <w:spacing w:before="0" w:beforeAutospacing="0" w:after="0" w:afterAutospacing="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2021年大学生参军入伍优待政策</w:t>
      </w:r>
    </w:p>
    <w:p>
      <w:pPr>
        <w:pStyle w:val="3"/>
        <w:spacing w:before="0" w:beforeAutospacing="0" w:after="0" w:afterAutospacing="0"/>
        <w:jc w:val="center"/>
        <w:rPr>
          <w:rFonts w:asciiTheme="minorEastAsia" w:hAnsiTheme="minorEastAsia" w:eastAsiaTheme="minorEastAsia"/>
          <w:b/>
          <w:bCs/>
          <w:sz w:val="32"/>
          <w:szCs w:val="32"/>
        </w:rPr>
      </w:pP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一、优先征集</w:t>
      </w:r>
    </w:p>
    <w:p>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大学生入伍优先报名应征、优先体检政审、优先审批定兵、优先安排使用，大学生参加体检开辟绿色通道。对参加抗疫一线任务的工作人员及其子女，特别是高校毕业生，纳入优先征集范围。</w:t>
      </w:r>
    </w:p>
    <w:p>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依据：《关于做好征集大学生入伍工作的通知》参动〔2013〕69号/《关于做好2020年大学生征兵工作的通知》军动〔2020〕485号。</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二、学费补偿</w:t>
      </w:r>
    </w:p>
    <w:p>
      <w:pPr>
        <w:widowControl/>
        <w:shd w:val="clear" w:color="auto" w:fill="FFFFFF"/>
        <w:ind w:firstLine="640" w:firstLineChars="200"/>
        <w:jc w:val="left"/>
        <w:outlineLvl w:val="1"/>
        <w:rPr>
          <w:rFonts w:ascii="仿宋" w:hAnsi="仿宋" w:eastAsia="仿宋" w:cs="宋体"/>
          <w:kern w:val="0"/>
          <w:sz w:val="32"/>
          <w:szCs w:val="32"/>
        </w:rPr>
      </w:pPr>
      <w:r>
        <w:rPr>
          <w:rFonts w:ascii="仿宋" w:hAnsi="仿宋" w:eastAsia="仿宋" w:cs="宋体"/>
          <w:bCs/>
          <w:sz w:val="32"/>
          <w:szCs w:val="32"/>
        </w:rPr>
        <w:t>大学生参军入伍，大学期间的学费国家给予补偿，本科生和专科生每年最高补偿8000元，研究生每年最高补偿1.2万元。</w:t>
      </w:r>
      <w:r>
        <w:rPr>
          <w:rFonts w:hint="eastAsia" w:ascii="仿宋" w:hAnsi="仿宋" w:eastAsia="仿宋" w:cs="宋体"/>
          <w:bCs/>
          <w:sz w:val="32"/>
          <w:szCs w:val="32"/>
        </w:rPr>
        <w:t>(</w:t>
      </w:r>
      <w:r>
        <w:rPr>
          <w:rFonts w:hint="eastAsia" w:ascii="仿宋" w:hAnsi="仿宋" w:eastAsia="仿宋" w:cs="宋体"/>
          <w:kern w:val="0"/>
          <w:sz w:val="32"/>
          <w:szCs w:val="32"/>
        </w:rPr>
        <w:t>关于对直接招收为士官的高等学校学生施行国家资助的通知 财教[2015]462号)</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三、服兵役高等学校学生国家教育资助</w:t>
      </w:r>
    </w:p>
    <w:p>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对应征入伍服义务兵役、招收为士官、退役后复学或入学的高等学校学生实行学费补偿、国家助学贷款代偿、学费减免。学费补偿或国家助学贷款代偿金额，按学生实际缴纳的学费或获得的国家助学贷款（包括本金及其全部偿还之前产生的利息，下同）两者金额较高者执行；复学或新生入学后学费减免金额，按高等学校实际收取学费金额执行。</w:t>
      </w:r>
    </w:p>
    <w:p>
      <w:pPr>
        <w:widowControl/>
        <w:ind w:firstLine="640" w:firstLineChars="200"/>
        <w:rPr>
          <w:rFonts w:ascii="仿宋" w:hAnsi="仿宋" w:eastAsia="仿宋" w:cs="宋体"/>
          <w:kern w:val="0"/>
          <w:sz w:val="32"/>
          <w:szCs w:val="32"/>
        </w:rPr>
      </w:pPr>
      <w:r>
        <w:rPr>
          <w:rFonts w:hint="eastAsia" w:ascii="仿宋" w:hAnsi="仿宋" w:eastAsia="仿宋" w:cs="宋体"/>
          <w:bCs/>
          <w:sz w:val="32"/>
          <w:szCs w:val="32"/>
        </w:rPr>
        <w:t>(</w:t>
      </w:r>
      <w:r>
        <w:rPr>
          <w:rFonts w:hint="eastAsia" w:ascii="仿宋" w:hAnsi="仿宋" w:eastAsia="仿宋" w:cs="宋体"/>
          <w:kern w:val="0"/>
          <w:sz w:val="32"/>
          <w:szCs w:val="32"/>
        </w:rPr>
        <w:t>关于对直接招收为士官的高等学校学生施行国家资助的通知 财教[2015]462号)</w:t>
      </w:r>
      <w:r>
        <w:rPr>
          <w:rFonts w:ascii="仿宋" w:hAnsi="仿宋" w:eastAsia="仿宋" w:cs="宋体"/>
          <w:kern w:val="0"/>
          <w:sz w:val="32"/>
          <w:szCs w:val="32"/>
        </w:rPr>
        <w:t xml:space="preserve"> 《学生资助资金管理办法》财科教〔2019〕19号</w:t>
      </w:r>
      <w:r>
        <w:rPr>
          <w:rFonts w:hint="eastAsia" w:ascii="仿宋" w:hAnsi="仿宋" w:eastAsia="仿宋" w:cs="宋体"/>
          <w:kern w:val="0"/>
          <w:sz w:val="32"/>
          <w:szCs w:val="32"/>
        </w:rPr>
        <w:t>）</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四、保留学籍</w:t>
      </w:r>
    </w:p>
    <w:p>
      <w:pPr>
        <w:widowControl/>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在校大学生参军入伍时可以保留学籍，在部队服役满两年之后，没有考上军校，或者不转士官的情况下，可以退伍回到学校继续完成学业。</w:t>
      </w:r>
      <w:r>
        <w:rPr>
          <w:rFonts w:hint="eastAsia" w:ascii="仿宋" w:hAnsi="仿宋" w:eastAsia="仿宋" w:cs="Times New Roman"/>
          <w:sz w:val="32"/>
          <w:szCs w:val="32"/>
        </w:rPr>
        <w:t>（2021年征兵宣传册《中华人民共和国国防法》《退役军人保障法》）</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五、退伍复学后可以转专业</w:t>
      </w:r>
    </w:p>
    <w:p>
      <w:pPr>
        <w:widowControl/>
        <w:ind w:firstLine="640" w:firstLineChars="200"/>
        <w:rPr>
          <w:rFonts w:hint="eastAsia" w:ascii="仿宋" w:hAnsi="仿宋" w:eastAsia="仿宋" w:cs="宋体"/>
          <w:kern w:val="0"/>
          <w:sz w:val="32"/>
          <w:szCs w:val="32"/>
        </w:rPr>
      </w:pPr>
      <w:r>
        <w:rPr>
          <w:rFonts w:ascii="仿宋" w:hAnsi="仿宋" w:eastAsia="仿宋" w:cs="宋体"/>
          <w:kern w:val="0"/>
          <w:sz w:val="32"/>
          <w:szCs w:val="32"/>
        </w:rPr>
        <w:t>应征入伍服义务兵役前正在高等学校就读的学生（含高校新生），服役期间按国家有关规定保留学籍或入学资格，退役后2年内允许复学或入学</w:t>
      </w:r>
      <w:r>
        <w:rPr>
          <w:rFonts w:hint="eastAsia" w:ascii="仿宋" w:hAnsi="仿宋" w:eastAsia="仿宋" w:cs="宋体"/>
          <w:kern w:val="0"/>
          <w:sz w:val="32"/>
          <w:szCs w:val="32"/>
        </w:rPr>
        <w:t>，</w:t>
      </w:r>
      <w:r>
        <w:rPr>
          <w:rFonts w:ascii="仿宋" w:hAnsi="仿宋" w:eastAsia="仿宋" w:cs="宋体"/>
          <w:kern w:val="0"/>
          <w:sz w:val="32"/>
          <w:szCs w:val="32"/>
        </w:rPr>
        <w:t>按照国家有关规定享受奖学金、助学金和减免学费等优待</w:t>
      </w:r>
      <w:r>
        <w:rPr>
          <w:rFonts w:hint="eastAsia" w:ascii="仿宋" w:hAnsi="仿宋" w:eastAsia="仿宋" w:cs="宋体"/>
          <w:kern w:val="0"/>
          <w:sz w:val="32"/>
          <w:szCs w:val="32"/>
        </w:rPr>
        <w:t>；</w:t>
      </w:r>
      <w:r>
        <w:rPr>
          <w:rFonts w:ascii="仿宋" w:hAnsi="仿宋" w:eastAsia="仿宋" w:cs="宋体"/>
          <w:kern w:val="0"/>
          <w:sz w:val="32"/>
          <w:szCs w:val="32"/>
        </w:rPr>
        <w:t>高职（专科）在校生（含高校新生）入伍经历可作为毕业实习经历</w:t>
      </w:r>
      <w:r>
        <w:rPr>
          <w:rFonts w:hint="eastAsia" w:ascii="仿宋" w:hAnsi="仿宋" w:eastAsia="仿宋" w:cs="宋体"/>
          <w:kern w:val="0"/>
          <w:sz w:val="32"/>
          <w:szCs w:val="32"/>
        </w:rPr>
        <w:t>；</w:t>
      </w:r>
      <w:r>
        <w:rPr>
          <w:rFonts w:ascii="仿宋" w:hAnsi="仿宋" w:eastAsia="仿宋" w:cs="宋体"/>
          <w:kern w:val="0"/>
          <w:sz w:val="32"/>
          <w:szCs w:val="32"/>
        </w:rPr>
        <w:t>大学生士兵</w:t>
      </w:r>
      <w:r>
        <w:rPr>
          <w:rFonts w:hint="eastAsia" w:ascii="仿宋" w:hAnsi="仿宋" w:eastAsia="仿宋" w:cs="宋体"/>
          <w:kern w:val="0"/>
          <w:sz w:val="32"/>
          <w:szCs w:val="32"/>
        </w:rPr>
        <w:t>退役回校复学后，如有转专业的需求经本人向院申请、学校教务部门审核，报主管校领导批准，可在相近专业进行转换。</w:t>
      </w:r>
    </w:p>
    <w:p>
      <w:pPr>
        <w:widowControl/>
        <w:ind w:firstLine="640" w:firstLineChars="200"/>
        <w:rPr>
          <w:rFonts w:ascii="仿宋" w:hAnsi="仿宋" w:eastAsia="仿宋" w:cs="宋体"/>
          <w:kern w:val="0"/>
          <w:sz w:val="32"/>
          <w:szCs w:val="32"/>
        </w:rPr>
      </w:pPr>
      <w:r>
        <w:rPr>
          <w:rFonts w:hint="eastAsia" w:ascii="仿宋" w:hAnsi="仿宋" w:eastAsia="仿宋" w:cs="Times New Roman"/>
          <w:sz w:val="32"/>
          <w:szCs w:val="32"/>
        </w:rPr>
        <w:t>（2021年征兵宣传册《中华人民共和国国防法》《退役军人</w:t>
      </w:r>
    </w:p>
    <w:p>
      <w:pPr>
        <w:widowControl/>
        <w:ind w:firstLine="640" w:firstLineChars="200"/>
        <w:rPr>
          <w:rFonts w:ascii="仿宋" w:hAnsi="仿宋" w:eastAsia="仿宋" w:cs="宋体"/>
          <w:kern w:val="0"/>
          <w:sz w:val="32"/>
          <w:szCs w:val="32"/>
        </w:rPr>
      </w:pPr>
      <w:r>
        <w:rPr>
          <w:rFonts w:hint="eastAsia" w:ascii="仿宋" w:hAnsi="仿宋" w:eastAsia="仿宋" w:cs="Times New Roman"/>
          <w:sz w:val="32"/>
          <w:szCs w:val="32"/>
        </w:rPr>
        <w:t>保障法》）</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六、所学专业符合部队需求的大学毕业生可以参加直招士官</w:t>
      </w:r>
    </w:p>
    <w:p>
      <w:pPr>
        <w:widowControl/>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服役两年期满，选择继续留队的士兵批准可直接转改为军士，全日制大专毕业生可以直接改为中士第一年，中士每月工资7000元起。（2021年征兵宣传册《中华人民共和国国防法》《退役军人保障法》）</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七、全日制高校毕业生参军入伍，在部队选取士官</w:t>
      </w:r>
    </w:p>
    <w:p>
      <w:pPr>
        <w:widowControl/>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全日制高校</w:t>
      </w:r>
      <w:r>
        <w:rPr>
          <w:rFonts w:ascii="仿宋" w:hAnsi="仿宋" w:eastAsia="仿宋" w:cs="Times New Roman"/>
          <w:sz w:val="32"/>
          <w:szCs w:val="32"/>
        </w:rPr>
        <w:t>毕业生参军入伍，两年义务兵期满之后</w:t>
      </w:r>
      <w:r>
        <w:rPr>
          <w:rFonts w:hint="eastAsia" w:ascii="仿宋" w:hAnsi="仿宋" w:eastAsia="仿宋" w:cs="Times New Roman"/>
          <w:sz w:val="32"/>
          <w:szCs w:val="32"/>
        </w:rPr>
        <w:t>选取</w:t>
      </w:r>
      <w:r>
        <w:rPr>
          <w:rFonts w:ascii="仿宋" w:hAnsi="仿宋" w:eastAsia="仿宋" w:cs="Times New Roman"/>
          <w:sz w:val="32"/>
          <w:szCs w:val="32"/>
        </w:rPr>
        <w:t>士官就是中士军衔，直接跳过下士阶段，大学上学期间视为服役时间，所以直接享受中士工资待遇。</w:t>
      </w:r>
      <w:r>
        <w:rPr>
          <w:rFonts w:hint="eastAsia" w:ascii="仿宋" w:hAnsi="仿宋" w:eastAsia="仿宋" w:cs="Times New Roman"/>
          <w:sz w:val="32"/>
          <w:szCs w:val="32"/>
        </w:rPr>
        <w:t>（2021年征兵宣传册《中华人民共和国国防法》《退役军人保障法》）</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八、大学生当兵，退伍之后专升本、考研更有优势</w:t>
      </w:r>
    </w:p>
    <w:p>
      <w:pPr>
        <w:widowControl/>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今年教育部、国防动员部《关于做好2020年大学生士兵工作的通知》明确，从2021年起，专科学历学生参军退役并完成专科学业后，从2022年起，可免试入读普通本科或成人本科，免试读全日制本科，没有录取比例和综合测评之类的限制。</w:t>
      </w:r>
      <w:r>
        <w:rPr>
          <w:rFonts w:hint="eastAsia" w:ascii="仿宋" w:hAnsi="仿宋" w:eastAsia="仿宋" w:cs="Times New Roman"/>
          <w:sz w:val="32"/>
          <w:szCs w:val="32"/>
        </w:rPr>
        <w:t>（2021年征兵宣传册《中华人民共和国国防法》《退役军人保障法》）</w:t>
      </w:r>
    </w:p>
    <w:p>
      <w:pPr>
        <w:widowControl/>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九、其他优惠</w:t>
      </w:r>
    </w:p>
    <w:p>
      <w:pPr>
        <w:widowControl/>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1.在部队表现优秀，被评为“优秀士兵”和获得“嘉奖”且</w:t>
      </w:r>
    </w:p>
    <w:p>
      <w:pPr>
        <w:widowControl/>
        <w:jc w:val="left"/>
        <w:rPr>
          <w:rFonts w:ascii="黑体" w:hAnsi="黑体" w:eastAsia="黑体" w:cs="黑体"/>
          <w:bCs/>
          <w:sz w:val="32"/>
          <w:szCs w:val="32"/>
        </w:rPr>
      </w:pPr>
      <w:r>
        <w:rPr>
          <w:rFonts w:hint="eastAsia" w:ascii="仿宋" w:hAnsi="仿宋" w:eastAsia="仿宋" w:cs="宋体"/>
          <w:kern w:val="0"/>
          <w:sz w:val="32"/>
          <w:szCs w:val="32"/>
        </w:rPr>
        <w:t>按期毕业的同学，同等条件下可优先授予“优秀毕业生”称号；</w:t>
      </w:r>
    </w:p>
    <w:p>
      <w:pPr>
        <w:widowControl/>
        <w:rPr>
          <w:rFonts w:ascii="仿宋" w:hAnsi="仿宋" w:eastAsia="仿宋" w:cs="宋体"/>
          <w:kern w:val="0"/>
          <w:sz w:val="32"/>
          <w:szCs w:val="32"/>
        </w:rPr>
      </w:pPr>
      <w:r>
        <w:rPr>
          <w:rFonts w:hint="eastAsia" w:ascii="仿宋" w:hAnsi="仿宋" w:eastAsia="仿宋" w:cs="宋体"/>
          <w:kern w:val="0"/>
          <w:sz w:val="32"/>
          <w:szCs w:val="32"/>
        </w:rPr>
        <w:t>在部队荣立三等功及以上奖励且按期毕业的同学，在同等条件下，优先推荐“省优秀毕业生”。</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2.退役学生复学后，在入党、竞选学生干部和军训教官等方面给与一定倾斜，发挥退役大学生引领示范作用。</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3.各高校在校生或应届毕业生参军入伍，河北省按照专科在校生、应届毕业生分别奖励200元、300元。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依据：《关于做好2021年河北省高校征兵工作的通知》冀征</w:t>
      </w:r>
      <w:r>
        <w:rPr>
          <w:rFonts w:ascii="仿宋" w:hAnsi="仿宋" w:eastAsia="仿宋" w:cs="宋体"/>
          <w:kern w:val="0"/>
          <w:sz w:val="32"/>
          <w:szCs w:val="32"/>
        </w:rPr>
        <w:t>〔202</w:t>
      </w:r>
      <w:r>
        <w:rPr>
          <w:rFonts w:hint="eastAsia" w:ascii="仿宋" w:hAnsi="仿宋" w:eastAsia="仿宋" w:cs="宋体"/>
          <w:kern w:val="0"/>
          <w:sz w:val="32"/>
          <w:szCs w:val="32"/>
        </w:rPr>
        <w:t>1</w:t>
      </w:r>
      <w:r>
        <w:rPr>
          <w:rFonts w:ascii="仿宋" w:hAnsi="仿宋" w:eastAsia="仿宋" w:cs="宋体"/>
          <w:kern w:val="0"/>
          <w:sz w:val="32"/>
          <w:szCs w:val="32"/>
        </w:rPr>
        <w:t>〕</w:t>
      </w:r>
      <w:r>
        <w:rPr>
          <w:rFonts w:hint="eastAsia" w:ascii="仿宋" w:hAnsi="仿宋" w:eastAsia="仿宋" w:cs="宋体"/>
          <w:kern w:val="0"/>
          <w:sz w:val="32"/>
          <w:szCs w:val="32"/>
        </w:rPr>
        <w:t>13</w:t>
      </w:r>
    </w:p>
    <w:p>
      <w:pPr>
        <w:rPr>
          <w:rFonts w:ascii="仿宋" w:hAnsi="仿宋" w:eastAsia="仿宋" w:cs="宋体"/>
          <w:kern w:val="0"/>
          <w:sz w:val="32"/>
          <w:szCs w:val="32"/>
        </w:rPr>
      </w:pPr>
      <w:r>
        <w:rPr>
          <w:rFonts w:hint="eastAsia" w:ascii="仿宋" w:hAnsi="仿宋" w:eastAsia="仿宋" w:cs="宋体"/>
          <w:kern w:val="0"/>
          <w:sz w:val="32"/>
          <w:szCs w:val="32"/>
        </w:rPr>
        <w:br w:type="page"/>
      </w:r>
    </w:p>
    <w:p>
      <w:pPr>
        <w:widowControl/>
        <w:ind w:firstLine="640" w:firstLineChars="200"/>
        <w:rPr>
          <w:rFonts w:ascii="仿宋" w:hAnsi="仿宋" w:eastAsia="仿宋"/>
          <w:sz w:val="32"/>
          <w:szCs w:val="32"/>
        </w:rPr>
      </w:pPr>
      <w:r>
        <w:rPr>
          <w:rFonts w:hint="eastAsia" w:ascii="仿宋" w:hAnsi="仿宋" w:eastAsia="仿宋"/>
          <w:sz w:val="32"/>
          <w:szCs w:val="32"/>
        </w:rPr>
        <w:t>附件3：</w:t>
      </w:r>
    </w:p>
    <w:p>
      <w:pPr>
        <w:pStyle w:val="3"/>
        <w:spacing w:before="0" w:beforeAutospacing="0" w:after="0" w:afterAutospacing="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承德应用技术职业学院学生征兵明白书</w:t>
      </w:r>
    </w:p>
    <w:p>
      <w:pPr>
        <w:pStyle w:val="3"/>
        <w:spacing w:before="0" w:beforeAutospacing="0" w:after="0" w:afterAutospacing="0"/>
        <w:jc w:val="center"/>
        <w:rPr>
          <w:rFonts w:asciiTheme="minorEastAsia" w:hAnsiTheme="minorEastAsia" w:eastAsiaTheme="minorEastAsia"/>
          <w:b/>
          <w:bCs/>
          <w:sz w:val="32"/>
          <w:szCs w:val="32"/>
        </w:rPr>
      </w:pPr>
    </w:p>
    <w:p>
      <w:pPr>
        <w:ind w:firstLine="640" w:firstLineChars="200"/>
        <w:rPr>
          <w:rFonts w:ascii="仿宋" w:hAnsi="仿宋" w:eastAsia="仿宋"/>
          <w:sz w:val="32"/>
          <w:szCs w:val="32"/>
        </w:rPr>
      </w:pPr>
      <w:r>
        <w:rPr>
          <w:rFonts w:hint="eastAsia" w:ascii="仿宋" w:hAnsi="仿宋" w:eastAsia="仿宋"/>
          <w:sz w:val="32"/>
          <w:szCs w:val="32"/>
        </w:rPr>
        <w:t>1.问：报名入伍的年龄和时间要求是什么？</w:t>
      </w:r>
    </w:p>
    <w:p>
      <w:pPr>
        <w:widowControl/>
        <w:shd w:val="clear" w:color="auto" w:fill="FFFFFF"/>
        <w:ind w:firstLine="640" w:firstLineChars="200"/>
        <w:rPr>
          <w:rFonts w:ascii="仿宋" w:hAnsi="仿宋" w:eastAsia="仿宋"/>
          <w:sz w:val="32"/>
          <w:szCs w:val="32"/>
        </w:rPr>
      </w:pPr>
      <w:r>
        <w:rPr>
          <w:rFonts w:ascii="仿宋" w:hAnsi="仿宋" w:eastAsia="仿宋"/>
          <w:sz w:val="32"/>
          <w:szCs w:val="32"/>
        </w:rPr>
        <w:t>答：</w:t>
      </w:r>
      <w:r>
        <w:rPr>
          <w:rFonts w:hint="eastAsia" w:ascii="仿宋" w:hAnsi="仿宋" w:eastAsia="仿宋"/>
          <w:sz w:val="32"/>
          <w:szCs w:val="32"/>
        </w:rPr>
        <w:t>年龄</w:t>
      </w:r>
    </w:p>
    <w:p>
      <w:pPr>
        <w:widowControl/>
        <w:shd w:val="clear" w:color="auto" w:fill="FFFFFF"/>
        <w:ind w:firstLine="672" w:firstLineChars="200"/>
        <w:rPr>
          <w:rFonts w:ascii="微软雅黑" w:hAnsi="微软雅黑" w:eastAsia="微软雅黑" w:cs="宋体"/>
          <w:color w:val="333333"/>
          <w:spacing w:val="8"/>
          <w:kern w:val="0"/>
          <w:sz w:val="26"/>
          <w:szCs w:val="26"/>
        </w:rPr>
      </w:pPr>
      <w:r>
        <w:rPr>
          <w:rFonts w:hint="eastAsia" w:ascii="仿宋" w:hAnsi="仿宋" w:eastAsia="仿宋" w:cs="宋体"/>
          <w:color w:val="000000"/>
          <w:spacing w:val="8"/>
          <w:kern w:val="0"/>
          <w:sz w:val="32"/>
          <w:szCs w:val="32"/>
        </w:rPr>
        <w:t>男兵：大专及以上文化程度的高校毕业生，年满18至24周岁（1999年1月1日—2003年12月31日出生）</w:t>
      </w:r>
    </w:p>
    <w:p>
      <w:pPr>
        <w:widowControl/>
        <w:shd w:val="clear" w:color="auto" w:fill="FFFFFF"/>
        <w:ind w:firstLine="672" w:firstLineChars="200"/>
        <w:rPr>
          <w:rFonts w:ascii="微软雅黑" w:hAnsi="微软雅黑" w:eastAsia="微软雅黑" w:cs="宋体"/>
          <w:color w:val="333333"/>
          <w:spacing w:val="8"/>
          <w:kern w:val="0"/>
          <w:sz w:val="26"/>
          <w:szCs w:val="26"/>
        </w:rPr>
      </w:pPr>
      <w:r>
        <w:rPr>
          <w:rFonts w:hint="eastAsia" w:ascii="仿宋" w:hAnsi="仿宋" w:eastAsia="仿宋" w:cs="宋体"/>
          <w:color w:val="000000"/>
          <w:spacing w:val="8"/>
          <w:kern w:val="0"/>
          <w:sz w:val="32"/>
          <w:szCs w:val="32"/>
        </w:rPr>
        <w:t>女兵：普通高等学校全日制应届毕业生及在校生，年满18至22周岁</w:t>
      </w:r>
      <w:r>
        <w:rPr>
          <w:rFonts w:hint="eastAsia" w:ascii="仿宋" w:hAnsi="仿宋" w:eastAsia="仿宋" w:cs="宋体"/>
          <w:color w:val="000000"/>
          <w:spacing w:val="8"/>
          <w:kern w:val="0"/>
          <w:sz w:val="32"/>
          <w:szCs w:val="32"/>
          <w:shd w:val="clear" w:color="auto" w:fill="FFFFFF"/>
        </w:rPr>
        <w:t>（1999年1月1日—2003年12月31日出生）</w:t>
      </w:r>
      <w:r>
        <w:rPr>
          <w:rFonts w:hint="eastAsia" w:ascii="仿宋" w:hAnsi="仿宋" w:eastAsia="仿宋" w:cs="宋体"/>
          <w:color w:val="000000"/>
          <w:spacing w:val="8"/>
          <w:kern w:val="0"/>
          <w:sz w:val="32"/>
          <w:szCs w:val="32"/>
        </w:rPr>
        <w:t>。女生无论是在校生还是毕业生都要有秋季全国统一高考成绩才有希望通过全国征兵网初选，2021年上半年通过初选人员，高考成绩全部达到一本录取分数线。</w:t>
      </w:r>
    </w:p>
    <w:p>
      <w:pPr>
        <w:ind w:firstLine="640" w:firstLineChars="200"/>
        <w:rPr>
          <w:rFonts w:ascii="仿宋" w:hAnsi="仿宋" w:eastAsia="仿宋"/>
          <w:sz w:val="32"/>
          <w:szCs w:val="32"/>
        </w:rPr>
      </w:pPr>
      <w:r>
        <w:rPr>
          <w:rFonts w:hint="eastAsia" w:ascii="仿宋" w:hAnsi="仿宋" w:eastAsia="仿宋"/>
          <w:sz w:val="32"/>
          <w:szCs w:val="32"/>
        </w:rPr>
        <w:t>应征报名时间：</w:t>
      </w:r>
    </w:p>
    <w:p>
      <w:pPr>
        <w:ind w:firstLine="640" w:firstLineChars="200"/>
        <w:rPr>
          <w:rFonts w:ascii="仿宋" w:hAnsi="仿宋" w:eastAsia="仿宋"/>
          <w:sz w:val="32"/>
          <w:szCs w:val="32"/>
        </w:rPr>
      </w:pPr>
      <w:r>
        <w:rPr>
          <w:rFonts w:hint="eastAsia" w:ascii="仿宋" w:hAnsi="仿宋" w:eastAsia="仿宋"/>
          <w:sz w:val="32"/>
          <w:szCs w:val="32"/>
        </w:rPr>
        <w:t>男兵：上半年报名：2020年12月10日至2021年3月30日</w:t>
      </w:r>
    </w:p>
    <w:p>
      <w:pPr>
        <w:ind w:firstLine="640" w:firstLineChars="200"/>
        <w:rPr>
          <w:rFonts w:ascii="仿宋" w:hAnsi="仿宋" w:eastAsia="仿宋"/>
          <w:sz w:val="32"/>
          <w:szCs w:val="32"/>
        </w:rPr>
      </w:pPr>
      <w:r>
        <w:rPr>
          <w:rFonts w:hint="eastAsia" w:ascii="仿宋" w:hAnsi="仿宋" w:eastAsia="仿宋"/>
          <w:sz w:val="32"/>
          <w:szCs w:val="32"/>
        </w:rPr>
        <w:t>下半年报名：2021年4月1日至2021年8月15日</w:t>
      </w:r>
    </w:p>
    <w:p>
      <w:pPr>
        <w:ind w:firstLine="640" w:firstLineChars="200"/>
        <w:rPr>
          <w:rFonts w:ascii="仿宋" w:hAnsi="仿宋" w:eastAsia="仿宋"/>
          <w:sz w:val="32"/>
          <w:szCs w:val="32"/>
        </w:rPr>
      </w:pPr>
      <w:r>
        <w:rPr>
          <w:rFonts w:hint="eastAsia" w:ascii="仿宋" w:hAnsi="仿宋" w:eastAsia="仿宋"/>
          <w:sz w:val="32"/>
          <w:szCs w:val="32"/>
        </w:rPr>
        <w:t>女兵：应征报名时间：</w:t>
      </w:r>
    </w:p>
    <w:p>
      <w:pPr>
        <w:ind w:firstLine="640" w:firstLineChars="200"/>
        <w:rPr>
          <w:rFonts w:ascii="仿宋" w:hAnsi="仿宋" w:eastAsia="仿宋"/>
          <w:sz w:val="32"/>
          <w:szCs w:val="32"/>
        </w:rPr>
      </w:pPr>
      <w:r>
        <w:rPr>
          <w:rFonts w:hint="eastAsia" w:ascii="仿宋" w:hAnsi="仿宋" w:eastAsia="仿宋"/>
          <w:sz w:val="32"/>
          <w:szCs w:val="32"/>
        </w:rPr>
        <w:t>上半年报名：2020年12月10日至2021年3月30日</w:t>
      </w:r>
    </w:p>
    <w:p>
      <w:pPr>
        <w:ind w:firstLine="640" w:firstLineChars="200"/>
        <w:rPr>
          <w:rFonts w:ascii="仿宋" w:hAnsi="仿宋" w:eastAsia="仿宋"/>
          <w:sz w:val="32"/>
          <w:szCs w:val="32"/>
        </w:rPr>
      </w:pPr>
      <w:r>
        <w:rPr>
          <w:rFonts w:hint="eastAsia" w:ascii="仿宋" w:hAnsi="仿宋" w:eastAsia="仿宋"/>
          <w:sz w:val="32"/>
          <w:szCs w:val="32"/>
        </w:rPr>
        <w:t>下半年报名：2021年6月26日至2021年8月15日18时</w:t>
      </w:r>
    </w:p>
    <w:p>
      <w:pPr>
        <w:ind w:firstLine="640" w:firstLineChars="200"/>
        <w:rPr>
          <w:rFonts w:ascii="仿宋" w:hAnsi="仿宋" w:eastAsia="仿宋"/>
          <w:sz w:val="32"/>
          <w:szCs w:val="32"/>
        </w:rPr>
      </w:pPr>
      <w:r>
        <w:rPr>
          <w:rFonts w:hint="eastAsia" w:ascii="仿宋" w:hAnsi="仿宋" w:eastAsia="仿宋"/>
          <w:sz w:val="32"/>
          <w:szCs w:val="32"/>
        </w:rPr>
        <w:t>2.问：报名入伍需满足的身体条件？</w:t>
      </w:r>
    </w:p>
    <w:p>
      <w:pPr>
        <w:ind w:firstLine="640" w:firstLineChars="200"/>
        <w:rPr>
          <w:rFonts w:hint="eastAsia" w:ascii="仿宋" w:hAnsi="仿宋" w:eastAsia="仿宋"/>
          <w:sz w:val="32"/>
          <w:szCs w:val="32"/>
        </w:rPr>
      </w:pPr>
      <w:r>
        <w:rPr>
          <w:rFonts w:hint="eastAsia" w:ascii="仿宋" w:hAnsi="仿宋" w:eastAsia="仿宋"/>
          <w:sz w:val="32"/>
          <w:szCs w:val="32"/>
        </w:rPr>
        <w:t>答：</w:t>
      </w:r>
    </w:p>
    <w:p>
      <w:pPr>
        <w:ind w:firstLine="640" w:firstLineChars="200"/>
        <w:rPr>
          <w:rFonts w:ascii="仿宋" w:hAnsi="仿宋" w:eastAsia="仿宋"/>
          <w:sz w:val="32"/>
          <w:szCs w:val="32"/>
        </w:rPr>
      </w:pPr>
      <w:r>
        <w:rPr>
          <w:rFonts w:hint="eastAsia" w:ascii="仿宋" w:hAnsi="仿宋" w:eastAsia="仿宋"/>
          <w:sz w:val="32"/>
          <w:szCs w:val="32"/>
        </w:rPr>
        <w:t>身高：男性身高160cm以上，女性身高158cm以上，合格。</w:t>
      </w:r>
    </w:p>
    <w:p>
      <w:pPr>
        <w:ind w:firstLine="640" w:firstLineChars="200"/>
        <w:rPr>
          <w:rFonts w:ascii="仿宋" w:hAnsi="仿宋" w:eastAsia="仿宋"/>
          <w:sz w:val="32"/>
          <w:szCs w:val="32"/>
        </w:rPr>
      </w:pPr>
      <w:r>
        <w:rPr>
          <w:rFonts w:hint="eastAsia" w:ascii="仿宋" w:hAnsi="仿宋" w:eastAsia="仿宋"/>
          <w:sz w:val="32"/>
          <w:szCs w:val="32"/>
        </w:rPr>
        <w:t>体重：（1）男性：17.5≤BMI&lt;28，其中17.5≤男性条件兵&lt;27；28≤BMI&lt;30，糖化血红蛋白百分比&lt;6.5%</w:t>
      </w:r>
    </w:p>
    <w:p>
      <w:pPr>
        <w:ind w:firstLine="1440" w:firstLineChars="450"/>
        <w:rPr>
          <w:rFonts w:ascii="仿宋" w:hAnsi="仿宋" w:eastAsia="仿宋"/>
          <w:sz w:val="32"/>
          <w:szCs w:val="32"/>
        </w:rPr>
      </w:pPr>
      <w:r>
        <w:rPr>
          <w:rFonts w:hint="eastAsia" w:ascii="仿宋" w:hAnsi="仿宋" w:eastAsia="仿宋"/>
          <w:sz w:val="32"/>
          <w:szCs w:val="32"/>
        </w:rPr>
        <w:t>（2）女性：17≤BMI&lt;24</w:t>
      </w:r>
    </w:p>
    <w:p>
      <w:pPr>
        <w:ind w:firstLine="640" w:firstLineChars="200"/>
        <w:rPr>
          <w:rFonts w:ascii="仿宋" w:hAnsi="仿宋" w:eastAsia="仿宋"/>
          <w:sz w:val="32"/>
          <w:szCs w:val="32"/>
        </w:rPr>
      </w:pPr>
      <w:r>
        <w:rPr>
          <w:rFonts w:hint="eastAsia" w:ascii="仿宋" w:hAnsi="仿宋" w:eastAsia="仿宋"/>
          <w:sz w:val="32"/>
          <w:szCs w:val="32"/>
        </w:rPr>
        <w:t>视力：任何一眼裸眼视力低于4.5，不合格。任何一眼裸眼视力低于4.8，需进行矫正视力检查，任何一眼矫正视力低于4.8或矫正度数超过600度，不合格。屈光不正经准分子激光手术后半年以上，无并发症，任何一眼裸眼视力达到4.8，眼底检查正常，除潜艇人员、潜水员、空降兵外合格。色弱，色盲，不合格。</w:t>
      </w:r>
    </w:p>
    <w:p>
      <w:pPr>
        <w:ind w:firstLine="640" w:firstLineChars="200"/>
        <w:rPr>
          <w:rFonts w:ascii="仿宋" w:hAnsi="仿宋" w:eastAsia="仿宋"/>
          <w:sz w:val="32"/>
          <w:szCs w:val="32"/>
        </w:rPr>
      </w:pPr>
      <w:r>
        <w:rPr>
          <w:rFonts w:hint="eastAsia" w:ascii="仿宋" w:hAnsi="仿宋" w:eastAsia="仿宋"/>
          <w:sz w:val="32"/>
          <w:szCs w:val="32"/>
        </w:rPr>
        <w:t>3.问：报名入伍需满足的政治条件？</w:t>
      </w:r>
    </w:p>
    <w:p>
      <w:pPr>
        <w:ind w:firstLine="640" w:firstLineChars="200"/>
        <w:rPr>
          <w:rFonts w:ascii="仿宋" w:hAnsi="仿宋" w:eastAsia="仿宋"/>
          <w:sz w:val="32"/>
          <w:szCs w:val="32"/>
        </w:rPr>
      </w:pPr>
      <w:r>
        <w:rPr>
          <w:rFonts w:hint="eastAsia" w:ascii="仿宋" w:hAnsi="仿宋" w:eastAsia="仿宋"/>
          <w:sz w:val="32"/>
          <w:szCs w:val="32"/>
        </w:rPr>
        <w:t>答：征兵政治考核以应征公民本人现实表现为主。考核内容包括：应征公民的个人基本信息、政治面貌、宗教信仰、婚姻状况、毕业（就读）学校、文化程度、主要经历、出国（境）情况、现实表现、奖惩情况，以及家庭成员、主要社会关系成员的政治情况等。具体条件按照《征兵政治考核工作规定》执行。</w:t>
      </w:r>
    </w:p>
    <w:p>
      <w:pPr>
        <w:ind w:firstLine="640" w:firstLineChars="200"/>
        <w:rPr>
          <w:rFonts w:ascii="仿宋" w:hAnsi="仿宋" w:eastAsia="仿宋"/>
          <w:sz w:val="32"/>
          <w:szCs w:val="32"/>
        </w:rPr>
      </w:pPr>
      <w:r>
        <w:rPr>
          <w:rFonts w:hint="eastAsia" w:ascii="仿宋" w:hAnsi="仿宋" w:eastAsia="仿宋"/>
          <w:sz w:val="32"/>
          <w:szCs w:val="32"/>
        </w:rPr>
        <w:t>4.问：青年应征入伍的流程？</w:t>
      </w:r>
    </w:p>
    <w:p>
      <w:pPr>
        <w:ind w:firstLine="640" w:firstLineChars="200"/>
        <w:rPr>
          <w:rFonts w:ascii="仿宋" w:hAnsi="仿宋" w:eastAsia="仿宋"/>
          <w:sz w:val="32"/>
          <w:szCs w:val="32"/>
        </w:rPr>
      </w:pPr>
      <w:r>
        <w:rPr>
          <w:rFonts w:hint="eastAsia" w:ascii="仿宋" w:hAnsi="仿宋" w:eastAsia="仿宋"/>
          <w:sz w:val="32"/>
          <w:szCs w:val="32"/>
        </w:rPr>
        <w:t>答:①网上报名②初检初审③体检政审④走访调查⑤预定新兵⑥张榜公示⑦批准入伍</w:t>
      </w:r>
    </w:p>
    <w:p>
      <w:pPr>
        <w:ind w:firstLine="640" w:firstLineChars="200"/>
        <w:rPr>
          <w:rFonts w:ascii="仿宋" w:hAnsi="仿宋" w:eastAsia="仿宋"/>
          <w:sz w:val="32"/>
          <w:szCs w:val="32"/>
        </w:rPr>
      </w:pPr>
      <w:r>
        <w:rPr>
          <w:rFonts w:hint="eastAsia" w:ascii="仿宋" w:hAnsi="仿宋" w:eastAsia="仿宋"/>
          <w:sz w:val="32"/>
          <w:szCs w:val="32"/>
        </w:rPr>
        <w:t>5.问：应征入伍如何报名？</w:t>
      </w:r>
    </w:p>
    <w:p>
      <w:pPr>
        <w:ind w:firstLine="640" w:firstLineChars="200"/>
        <w:rPr>
          <w:rFonts w:ascii="仿宋" w:hAnsi="仿宋" w:eastAsia="仿宋"/>
          <w:sz w:val="32"/>
          <w:szCs w:val="32"/>
        </w:rPr>
      </w:pPr>
      <w:r>
        <w:rPr>
          <w:rFonts w:hint="eastAsia" w:ascii="仿宋" w:hAnsi="仿宋" w:eastAsia="仿宋"/>
          <w:sz w:val="32"/>
          <w:szCs w:val="32"/>
        </w:rPr>
        <w:t>答：登录“全国征兵网”（网址：http://www.gfbzb.gov.cn），按网页提示填写个人基本信息。具体步骤：兵役登记—实名注册报名—报名提交。报名学生可选择学校所在地报名应征也可选择户籍所在地报名应征，如果选择学校所在地报名应征，请在应征地填写：承德市-开发区-承德应用技术职业学院（如想从学校入伍应征地就必须选择为学校）。</w:t>
      </w:r>
    </w:p>
    <w:p>
      <w:pPr>
        <w:ind w:firstLine="640" w:firstLineChars="200"/>
        <w:rPr>
          <w:rFonts w:ascii="仿宋" w:hAnsi="仿宋" w:eastAsia="仿宋"/>
          <w:sz w:val="32"/>
          <w:szCs w:val="32"/>
        </w:rPr>
      </w:pPr>
      <w:r>
        <w:rPr>
          <w:rFonts w:hint="eastAsia" w:ascii="仿宋" w:hAnsi="仿宋" w:eastAsia="仿宋"/>
          <w:sz w:val="32"/>
          <w:szCs w:val="32"/>
        </w:rPr>
        <w:t>报名成功后，自行下载打印《男性公民兵役登记/应征报名表》《大学生预征对象登记表》，符合国家学费资助条件的，同时还应下载打印《高校大学生应征入伍学费补偿国家助学贷款代偿申请表》，然后等待兵役部门通知，按要求参加初检初考和体检政考。</w:t>
      </w:r>
    </w:p>
    <w:p>
      <w:pPr>
        <w:ind w:firstLine="640" w:firstLineChars="200"/>
        <w:rPr>
          <w:rFonts w:ascii="仿宋" w:hAnsi="仿宋" w:eastAsia="仿宋"/>
          <w:sz w:val="32"/>
          <w:szCs w:val="32"/>
        </w:rPr>
      </w:pPr>
      <w:r>
        <w:rPr>
          <w:rFonts w:hint="eastAsia" w:ascii="仿宋" w:hAnsi="仿宋" w:eastAsia="仿宋"/>
          <w:sz w:val="32"/>
          <w:szCs w:val="32"/>
        </w:rPr>
        <w:t>6.问：征兵入伍时间？</w:t>
      </w:r>
    </w:p>
    <w:p>
      <w:pPr>
        <w:ind w:firstLine="640" w:firstLineChars="200"/>
        <w:rPr>
          <w:rFonts w:ascii="仿宋" w:hAnsi="仿宋" w:eastAsia="仿宋"/>
          <w:sz w:val="32"/>
          <w:szCs w:val="32"/>
        </w:rPr>
      </w:pPr>
      <w:r>
        <w:rPr>
          <w:rFonts w:hint="eastAsia" w:ascii="仿宋" w:hAnsi="仿宋" w:eastAsia="仿宋"/>
          <w:sz w:val="32"/>
          <w:szCs w:val="32"/>
        </w:rPr>
        <w:t>答：网上报名：男兵下半年征兵是在4月1日至8月15日网上报名，建议广大应征青年尽量在6月30日前完成网上报名，以免耽误7月份初审初检。上半年是12月10日至2月20日，建议在2022年1月底前完成网上报名。女兵下半年应征报名：2021年6月26日至2021年8月15日18时。</w:t>
      </w:r>
    </w:p>
    <w:p>
      <w:pPr>
        <w:ind w:firstLine="640" w:firstLineChars="200"/>
        <w:rPr>
          <w:rFonts w:ascii="仿宋" w:hAnsi="仿宋" w:eastAsia="仿宋"/>
          <w:sz w:val="32"/>
          <w:szCs w:val="32"/>
        </w:rPr>
      </w:pPr>
      <w:r>
        <w:rPr>
          <w:rFonts w:hint="eastAsia" w:ascii="仿宋" w:hAnsi="仿宋" w:eastAsia="仿宋"/>
          <w:sz w:val="32"/>
          <w:szCs w:val="32"/>
        </w:rPr>
        <w:t>7.问：大学生入伍有何优惠政策？</w:t>
      </w:r>
    </w:p>
    <w:p>
      <w:pPr>
        <w:ind w:firstLine="640" w:firstLineChars="200"/>
        <w:rPr>
          <w:rFonts w:ascii="仿宋" w:hAnsi="仿宋" w:eastAsia="仿宋"/>
          <w:sz w:val="32"/>
          <w:szCs w:val="32"/>
        </w:rPr>
      </w:pPr>
      <w:r>
        <w:rPr>
          <w:rFonts w:hint="eastAsia" w:ascii="仿宋" w:hAnsi="仿宋" w:eastAsia="仿宋"/>
          <w:sz w:val="32"/>
          <w:szCs w:val="32"/>
        </w:rPr>
        <w:t>答：</w:t>
      </w:r>
    </w:p>
    <w:p>
      <w:pPr>
        <w:ind w:firstLine="640" w:firstLineChars="200"/>
        <w:rPr>
          <w:rFonts w:ascii="仿宋" w:hAnsi="仿宋" w:eastAsia="仿宋"/>
          <w:sz w:val="32"/>
          <w:szCs w:val="32"/>
        </w:rPr>
      </w:pPr>
      <w:r>
        <w:rPr>
          <w:rFonts w:hint="eastAsia" w:ascii="仿宋" w:hAnsi="仿宋" w:eastAsia="仿宋"/>
          <w:sz w:val="32"/>
          <w:szCs w:val="32"/>
        </w:rPr>
        <w:t>（1）四个优先：优先报名应征、优先体检政审、优先审批定兵、优先选拔使用。</w:t>
      </w:r>
    </w:p>
    <w:p>
      <w:pPr>
        <w:ind w:firstLine="640" w:firstLineChars="200"/>
        <w:rPr>
          <w:rFonts w:ascii="仿宋" w:hAnsi="仿宋" w:eastAsia="仿宋"/>
          <w:sz w:val="32"/>
          <w:szCs w:val="32"/>
        </w:rPr>
      </w:pPr>
      <w:r>
        <w:rPr>
          <w:rFonts w:hint="eastAsia" w:ascii="仿宋" w:hAnsi="仿宋" w:eastAsia="仿宋"/>
          <w:sz w:val="32"/>
          <w:szCs w:val="32"/>
        </w:rPr>
        <w:t>（2）所学专业符合部队需求的大学毕业生可以参加直招士官。应征入伍后，授予下士军衔，每月领取士官工资。</w:t>
      </w:r>
    </w:p>
    <w:p>
      <w:pPr>
        <w:ind w:firstLine="640" w:firstLineChars="200"/>
        <w:rPr>
          <w:rFonts w:ascii="仿宋" w:hAnsi="仿宋" w:eastAsia="仿宋"/>
          <w:sz w:val="32"/>
          <w:szCs w:val="32"/>
        </w:rPr>
      </w:pPr>
      <w:r>
        <w:rPr>
          <w:rFonts w:hint="eastAsia" w:ascii="仿宋" w:hAnsi="仿宋" w:eastAsia="仿宋"/>
          <w:sz w:val="32"/>
          <w:szCs w:val="32"/>
        </w:rPr>
        <w:t>（3）全日制高校毕业生参军入伍，在部队选取士官。全日制高校毕业生参军入伍，两年义务兵期满之后选取士官就是中士军衔，直接跳过下士阶段，大学上学期间视为服役时间，所以直接享受中士工资待遇。</w:t>
      </w:r>
    </w:p>
    <w:p>
      <w:pPr>
        <w:ind w:firstLine="640" w:firstLineChars="200"/>
        <w:rPr>
          <w:rFonts w:ascii="仿宋" w:hAnsi="仿宋" w:eastAsia="仿宋"/>
          <w:sz w:val="32"/>
          <w:szCs w:val="32"/>
        </w:rPr>
      </w:pPr>
      <w:r>
        <w:rPr>
          <w:rFonts w:hint="eastAsia" w:ascii="仿宋" w:hAnsi="仿宋" w:eastAsia="仿宋"/>
          <w:sz w:val="32"/>
          <w:szCs w:val="32"/>
        </w:rPr>
        <w:t>8.问:大学生入伍复学有何优惠政策？</w:t>
      </w:r>
    </w:p>
    <w:p>
      <w:pPr>
        <w:ind w:firstLine="640" w:firstLineChars="200"/>
        <w:rPr>
          <w:rFonts w:ascii="仿宋" w:hAnsi="仿宋" w:eastAsia="仿宋"/>
          <w:sz w:val="32"/>
          <w:szCs w:val="32"/>
        </w:rPr>
      </w:pPr>
      <w:r>
        <w:rPr>
          <w:rFonts w:hint="eastAsia" w:ascii="仿宋" w:hAnsi="仿宋" w:eastAsia="仿宋"/>
          <w:sz w:val="32"/>
          <w:szCs w:val="32"/>
        </w:rPr>
        <w:t>答：（1）保留入学资格：大学生入伍，高校保留入学资格，退役后2年内可复学。</w:t>
      </w:r>
    </w:p>
    <w:p>
      <w:pPr>
        <w:ind w:firstLine="640" w:firstLineChars="200"/>
        <w:rPr>
          <w:rFonts w:ascii="仿宋" w:hAnsi="仿宋" w:eastAsia="仿宋"/>
          <w:sz w:val="32"/>
          <w:szCs w:val="32"/>
        </w:rPr>
      </w:pPr>
      <w:r>
        <w:rPr>
          <w:rFonts w:hint="eastAsia" w:ascii="仿宋" w:hAnsi="仿宋" w:eastAsia="仿宋"/>
          <w:sz w:val="32"/>
          <w:szCs w:val="32"/>
        </w:rPr>
        <w:t>（2）国家资助学费：国家对应征入伍服兵役的全日制高校大学生士兵一次性补偿、代偿或减免所有学费，本专科生每人每年最高8000元。</w:t>
      </w:r>
    </w:p>
    <w:p>
      <w:pPr>
        <w:ind w:firstLine="640" w:firstLineChars="200"/>
        <w:rPr>
          <w:rFonts w:ascii="仿宋" w:hAnsi="仿宋" w:eastAsia="仿宋"/>
          <w:sz w:val="32"/>
          <w:szCs w:val="32"/>
        </w:rPr>
      </w:pPr>
      <w:r>
        <w:rPr>
          <w:rFonts w:hint="eastAsia" w:ascii="仿宋" w:hAnsi="仿宋" w:eastAsia="仿宋"/>
          <w:sz w:val="32"/>
          <w:szCs w:val="32"/>
        </w:rPr>
        <w:t>（3）困难补助：在校学生退役回校复学后，家庭经济困难的，学校将酌情给予相应困难补助。</w:t>
      </w:r>
    </w:p>
    <w:p>
      <w:pPr>
        <w:ind w:firstLine="640" w:firstLineChars="200"/>
        <w:rPr>
          <w:rFonts w:ascii="仿宋" w:hAnsi="仿宋" w:eastAsia="仿宋"/>
          <w:sz w:val="32"/>
          <w:szCs w:val="32"/>
        </w:rPr>
      </w:pPr>
      <w:r>
        <w:rPr>
          <w:rFonts w:hint="eastAsia" w:ascii="仿宋" w:hAnsi="仿宋" w:eastAsia="仿宋"/>
          <w:sz w:val="32"/>
          <w:szCs w:val="32"/>
        </w:rPr>
        <w:t>（4）复学可转专业：退役回校复学后，如有转专业的需求经本人向院申请、学校教务部门审核，报主管校领导批准，可在相近专业进行转换。</w:t>
      </w:r>
    </w:p>
    <w:p>
      <w:pPr>
        <w:ind w:firstLine="640" w:firstLineChars="200"/>
        <w:rPr>
          <w:rFonts w:ascii="仿宋" w:hAnsi="仿宋" w:eastAsia="仿宋"/>
          <w:sz w:val="32"/>
          <w:szCs w:val="32"/>
        </w:rPr>
      </w:pPr>
      <w:r>
        <w:rPr>
          <w:rFonts w:hint="eastAsia" w:ascii="仿宋" w:hAnsi="仿宋" w:eastAsia="仿宋"/>
          <w:sz w:val="32"/>
          <w:szCs w:val="32"/>
        </w:rPr>
        <w:t>（5）优先评优推荐：在部队表现优秀，被评为“优秀士兵”和获得“嘉奖”且按期毕业的同学，同等条件下可优先授予“优秀毕业生”称号；在部队荣立三等功及以上奖励且按期毕业的同学，在同等条件下，优先推荐“省优秀毕业生”。退役学生在校期间，正常毕业就业时，学校将给予重点推荐</w:t>
      </w:r>
    </w:p>
    <w:p>
      <w:pPr>
        <w:ind w:firstLine="640" w:firstLineChars="200"/>
        <w:rPr>
          <w:rFonts w:ascii="仿宋" w:hAnsi="仿宋" w:eastAsia="仿宋"/>
          <w:sz w:val="32"/>
          <w:szCs w:val="32"/>
        </w:rPr>
      </w:pPr>
      <w:r>
        <w:rPr>
          <w:rFonts w:hint="eastAsia" w:ascii="仿宋" w:hAnsi="仿宋" w:eastAsia="仿宋"/>
          <w:sz w:val="32"/>
          <w:szCs w:val="32"/>
        </w:rPr>
        <w:t>9.问：大学生入伍复学后升学有何优惠政策？</w:t>
      </w:r>
    </w:p>
    <w:p>
      <w:pPr>
        <w:ind w:firstLine="640" w:firstLineChars="200"/>
        <w:rPr>
          <w:rFonts w:ascii="仿宋" w:hAnsi="仿宋" w:eastAsia="仿宋"/>
          <w:sz w:val="32"/>
          <w:szCs w:val="32"/>
        </w:rPr>
      </w:pPr>
      <w:r>
        <w:rPr>
          <w:rFonts w:hint="eastAsia" w:ascii="仿宋" w:hAnsi="仿宋" w:eastAsia="仿宋"/>
          <w:sz w:val="32"/>
          <w:szCs w:val="32"/>
        </w:rPr>
        <w:t>答：（1）升本优惠： 高职（专科）毕业生及在校生（含高校新生）应征入伍，退役后在完成高职（专科）学业的前提下，可免试入读普通本科，或根据意愿入读成人本科，自2022年专升本招生起执行。（具体政策以上级部门后续下放文件为准）</w:t>
      </w:r>
    </w:p>
    <w:p>
      <w:pPr>
        <w:ind w:firstLine="640" w:firstLineChars="200"/>
        <w:rPr>
          <w:rFonts w:ascii="仿宋" w:hAnsi="仿宋" w:eastAsia="仿宋"/>
          <w:sz w:val="32"/>
          <w:szCs w:val="32"/>
        </w:rPr>
      </w:pPr>
      <w:r>
        <w:rPr>
          <w:rFonts w:hint="eastAsia" w:ascii="仿宋" w:hAnsi="仿宋" w:eastAsia="仿宋"/>
          <w:sz w:val="32"/>
          <w:szCs w:val="32"/>
        </w:rPr>
        <w:t>（2）高职（专科）在校生入伍经历可作为毕业实习经历。</w:t>
      </w:r>
    </w:p>
    <w:p/>
    <w:sectPr>
      <w:footerReference r:id="rId3" w:type="default"/>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217112"/>
      <w:docPartObj>
        <w:docPartGallery w:val="autotext"/>
      </w:docPartObj>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F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2021-05-17T01:34:08Z</dcterms:created>
  <dc:creator>Administrator</dc:creator>
  <cp:lastModifiedBy>朱亚涛</cp:lastModifiedBy>
  <dcterms:modified xsi:type="dcterms:W3CDTF">2021-05-17T01:34:18Z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A927958935D24B578A6F299E3A1DB1CE</vt:lpwstr>
  </property>
</Properties>
</file>