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32"/>
          <w:szCs w:val="32"/>
        </w:rPr>
        <w:t>附件：</w:t>
      </w:r>
    </w:p>
    <w:p>
      <w:pPr>
        <w:jc w:val="center"/>
        <w:rPr>
          <w:rFonts w:hint="eastAsia" w:ascii="宋体" w:hAnsi="宋体" w:cs="仿宋"/>
          <w:b/>
          <w:sz w:val="44"/>
          <w:szCs w:val="44"/>
        </w:rPr>
      </w:pPr>
      <w:bookmarkStart w:id="0" w:name="_GoBack"/>
      <w:r>
        <w:rPr>
          <w:rFonts w:hint="eastAsia" w:ascii="宋体" w:hAnsi="宋体" w:cs="仿宋"/>
          <w:b/>
          <w:sz w:val="44"/>
          <w:szCs w:val="44"/>
        </w:rPr>
        <w:t>承德应用技术职业学院学生社团考核评价表</w:t>
      </w:r>
    </w:p>
    <w:bookmarkEnd w:id="0"/>
    <w:tbl>
      <w:tblPr>
        <w:tblStyle w:val="5"/>
        <w:tblW w:w="5110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843"/>
        <w:gridCol w:w="5113"/>
        <w:gridCol w:w="701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26" w:type="pct"/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55" w:type="pct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32"/>
              </w:rPr>
              <w:t>评价指标及指标说明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分值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评定分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726" w:type="pct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过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程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价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（60分）</w:t>
            </w:r>
          </w:p>
        </w:tc>
        <w:tc>
          <w:tcPr>
            <w:tcW w:w="3555" w:type="pct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1.开展活动规范有序，学生社团名册记载详实。每次学生社团活动社团负责人、指导老师要及时到位，学生出勤率达到80%以上。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10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pct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55" w:type="pct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2.社团活动过程性资料内容详实、形式多样、主题鲜明、内容丰富，有图片、计划、总结支撑，能充分体现学生成长的轨迹。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10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26" w:type="pct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55" w:type="pct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32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进行学生社团知名度调查，学生社团在校园文化建设中发挥的作用及影响力。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10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26" w:type="pct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55" w:type="pct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32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培育可持续发展的品牌项目工作情况，评选“最受学生欢迎的学生社团”，“五四表彰优秀学生社团”等。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10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26" w:type="pct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55" w:type="pct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32"/>
              </w:rPr>
              <w:t>5.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各级团组织开展思想政治教育工作情况，充分利用网络资源开展思政教育活动，积极参与易班网站的建设，定期推送思政教育及各种活动的信息。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10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26" w:type="pct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55" w:type="pct"/>
            <w:gridSpan w:val="2"/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32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32"/>
              </w:rPr>
              <w:t>.定期有序开展学生社团活动，承办或积极参加学院大型活动，每学期进行学生社团展演。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10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26" w:type="pct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期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末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生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述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（40分）</w:t>
            </w:r>
          </w:p>
        </w:tc>
        <w:tc>
          <w:tcPr>
            <w:tcW w:w="942" w:type="pct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一、制度建设</w:t>
            </w:r>
          </w:p>
        </w:tc>
        <w:tc>
          <w:tcPr>
            <w:tcW w:w="2613" w:type="pct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1.完成社团登记和年审、信息变更情况。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4</w:t>
            </w:r>
          </w:p>
        </w:tc>
        <w:tc>
          <w:tcPr>
            <w:tcW w:w="360" w:type="pct"/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6" w:type="pct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2" w:type="pct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13" w:type="pct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2.社团规章制度和组织机构建设等情况。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4</w:t>
            </w:r>
          </w:p>
        </w:tc>
        <w:tc>
          <w:tcPr>
            <w:tcW w:w="360" w:type="pct"/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26" w:type="pct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2" w:type="pct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二、队伍建设</w:t>
            </w:r>
          </w:p>
        </w:tc>
        <w:tc>
          <w:tcPr>
            <w:tcW w:w="2613" w:type="pct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3.社团负责人换届选举及后备干部梯队建设情况。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</w:t>
            </w:r>
          </w:p>
        </w:tc>
        <w:tc>
          <w:tcPr>
            <w:tcW w:w="360" w:type="pct"/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26" w:type="pct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2" w:type="pct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613" w:type="pct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4.社团成员参加骨干培训班情况。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</w:t>
            </w:r>
          </w:p>
        </w:tc>
        <w:tc>
          <w:tcPr>
            <w:tcW w:w="360" w:type="pct"/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726" w:type="pct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2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三、财务管理</w:t>
            </w:r>
          </w:p>
        </w:tc>
        <w:tc>
          <w:tcPr>
            <w:tcW w:w="2613" w:type="pct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5.社团经费管理制度建设，社团财务收支账目管理及社团活动经费使用、报销、财务管理监督等工作情况。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8</w:t>
            </w:r>
          </w:p>
        </w:tc>
        <w:tc>
          <w:tcPr>
            <w:tcW w:w="360" w:type="pct"/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726" w:type="pct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2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四、活动开展</w:t>
            </w:r>
          </w:p>
        </w:tc>
        <w:tc>
          <w:tcPr>
            <w:tcW w:w="2613" w:type="pct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6.围绕社团宗旨有序开展各类活动，做好大型活动安全预案与报备等工作情况。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8</w:t>
            </w:r>
          </w:p>
        </w:tc>
        <w:tc>
          <w:tcPr>
            <w:tcW w:w="360" w:type="pct"/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26" w:type="pct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2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五、文化建设</w:t>
            </w:r>
          </w:p>
        </w:tc>
        <w:tc>
          <w:tcPr>
            <w:tcW w:w="2613" w:type="pct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7.社团有关活动成果集结成册（杂志、报纸、光盘、视频等介质），或研究成果投入转化 （孵化）并取得收益等情况。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8</w:t>
            </w:r>
          </w:p>
        </w:tc>
        <w:tc>
          <w:tcPr>
            <w:tcW w:w="360" w:type="pct"/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6" w:type="pct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28"/>
              </w:rPr>
              <w:t>加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28"/>
              </w:rPr>
              <w:t>分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28"/>
              </w:rPr>
              <w:t>项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28"/>
              </w:rPr>
              <w:t>（20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3555" w:type="pct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1.有关工作信息在《人民日报》普通版面或《河北日报》、《中国青年报》《承德日报》头版头条报道，1条（篇）加3—5分。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2.有关工作信息在《河北卫视》报道、《承德电视台》等报道，1条（篇）加 2—4分。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3.有关工作信息被团省委、团市委、学院官方微信、微博予以报道的，1条（篇）加1-3分;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注∶同一内容的文章、新闻在不同刊物发表或媒体报道的只按最高分值加分1次;在各类交流性质的内部刊物发表文章不加分。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10</w:t>
            </w:r>
          </w:p>
        </w:tc>
        <w:tc>
          <w:tcPr>
            <w:tcW w:w="360" w:type="pct"/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pct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55" w:type="pct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1.以社团或其成员名义参加国家级及以上赛事、活动，荣获集体或个人奖项的，1次加5分; 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2.以社团或其成员名义参加省部级赛事、活动，荣获集体或个人奖项的，1次加4分; 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3.单项工作受到各级党政领导肯定性批示的，1次加 3 分。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4.单项工作受到学院或上级团组织主要领导肯定性批示的，1次加 2 分。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5.承办市级、院级示范活动和会议的，1次（场）加2分。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6.单项工作被学院或上级团组织通报表扬的，1次加1.5 分。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注∶ 对同一事项、做法、活动或信息的奖励或批示，按最高分值加分1次。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10</w:t>
            </w:r>
          </w:p>
        </w:tc>
        <w:tc>
          <w:tcPr>
            <w:tcW w:w="360" w:type="pct"/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726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28"/>
              </w:rPr>
              <w:t>减分项</w:t>
            </w:r>
          </w:p>
        </w:tc>
        <w:tc>
          <w:tcPr>
            <w:tcW w:w="3555" w:type="pct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被通报批评的，根据影响情况，给与一次扣5—10分。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不设上限</w:t>
            </w:r>
          </w:p>
        </w:tc>
        <w:tc>
          <w:tcPr>
            <w:tcW w:w="360" w:type="pct"/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26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28"/>
              </w:rPr>
              <w:t>一票否决项目</w:t>
            </w:r>
          </w:p>
        </w:tc>
        <w:tc>
          <w:tcPr>
            <w:tcW w:w="3555" w:type="pct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1.开展活动过程中，出现违法违纪情况的。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2.连续一学年未开展任何活动且未及时说明原因的。</w:t>
            </w:r>
          </w:p>
        </w:tc>
        <w:tc>
          <w:tcPr>
            <w:tcW w:w="358" w:type="pct"/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0" w:type="pct"/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仿宋"/>
              </w:rPr>
            </w:pPr>
          </w:p>
        </w:tc>
      </w:tr>
    </w:tbl>
    <w:p>
      <w:pPr>
        <w:pStyle w:val="3"/>
        <w:adjustRightInd w:val="0"/>
        <w:snapToGrid w:val="0"/>
        <w:spacing w:after="0" w:line="560" w:lineRule="exact"/>
        <w:jc w:val="center"/>
        <w:rPr>
          <w:rFonts w:ascii="仿宋" w:hAnsi="仿宋" w:eastAsia="仿宋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134" w:bottom="1134" w:left="1417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19 -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20 -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5254F"/>
    <w:rsid w:val="4E15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ind w:firstLine="643" w:firstLineChars="200"/>
      <w:outlineLvl w:val="3"/>
    </w:pPr>
    <w:rPr>
      <w:rFonts w:ascii="Cambria" w:hAnsi="Cambria"/>
      <w:b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仿宋_GB2312" w:eastAsia="仿宋_GB2312"/>
      <w:sz w:val="32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2021-11-01T01:39:00Z</dcterms:created>
  <dc:creator>朱亚涛</dc:creator>
  <cp:lastModifiedBy>朱亚涛</cp:lastModifiedBy>
  <dcterms:modified xsi:type="dcterms:W3CDTF">2021-11-01T01:39:44Z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E7BF27CB066B4DBE9C60451F1827B989</vt:lpwstr>
  </property>
</Properties>
</file>