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黑体" w:hAnsi="宋体" w:eastAsia="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部门年度项目</w:t>
      </w:r>
      <w:r>
        <w:rPr>
          <w:rFonts w:hint="eastAsia" w:ascii="方正小标宋简体" w:hAnsi="方正小标宋简体" w:eastAsia="方正小标宋简体" w:cs="方正小标宋简体"/>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bCs/>
          <w:sz w:val="44"/>
          <w:szCs w:val="44"/>
        </w:rPr>
      </w:pPr>
      <w:r>
        <w:rPr>
          <w:rFonts w:hint="eastAsia" w:ascii="仿宋_GB2312" w:hAnsi="仿宋_GB2312" w:eastAsia="仿宋_GB2312" w:cs="仿宋_GB2312"/>
          <w:b w:val="0"/>
          <w:bCs w:val="0"/>
          <w:sz w:val="32"/>
          <w:szCs w:val="32"/>
        </w:rPr>
        <w:t>（参考提纲）</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一、绩效自评工作组织开展情况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主要包括部门绩效自评工作的组织情况、实施过程，部门预算安排及资金分配拨付，部门日常财务管理、专项监督检查及审计部门审查意见等情况。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二、绩效目标实现情况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主要包括部门总体工作开展情况，专项资金和具体预算支出项目的预期绩效目标完成情况、存在问题及评价结论，对未完成绩效目标或偏离绩效目标较大的要单独列明，并分析说明原因。</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三、绩效目标设定质量情况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主要包括通过绩效自评结果对比倒查的年初绩效目标设定质量情况，全面总结绩效目标设定是否清晰准确，绩效指标是否全面完整、科学合理，绩效标准是否恰当适宜、易于评价，深入分析原因，逐项查找差距。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四、整改措施及结果应用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主要包括针对存在的问题，研究制定的整改思路和工作措施，在</w:t>
      </w:r>
      <w:r>
        <w:rPr>
          <w:rFonts w:hint="eastAsia" w:ascii="仿宋_GB2312" w:eastAsia="仿宋_GB2312" w:cs="宋体"/>
          <w:kern w:val="0"/>
          <w:sz w:val="32"/>
          <w:szCs w:val="32"/>
          <w:lang w:val="zh-CN"/>
        </w:rPr>
        <w:t>健全制度、完善政策、改进管理、优化</w:t>
      </w:r>
      <w:r>
        <w:rPr>
          <w:rFonts w:hint="eastAsia" w:ascii="仿宋_GB2312" w:hAnsi="宋体" w:eastAsia="仿宋_GB2312"/>
          <w:sz w:val="32"/>
          <w:szCs w:val="32"/>
        </w:rPr>
        <w:t>流程等提高部门绩效方面的具体做法，在</w:t>
      </w:r>
      <w:r>
        <w:rPr>
          <w:rFonts w:hint="eastAsia" w:ascii="仿宋_GB2312" w:eastAsia="仿宋_GB2312" w:cs="宋体"/>
          <w:kern w:val="0"/>
          <w:sz w:val="32"/>
          <w:szCs w:val="32"/>
          <w:lang w:val="zh-CN"/>
        </w:rPr>
        <w:t>整合资金、调整项目及改善投向等优化部门支出结构方面的安排，在提高绩效目标设置质量方面的打算等</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项目（政策）事前绩效评估报告</w:t>
      </w:r>
    </w:p>
    <w:p>
      <w:pPr>
        <w:keepNext w:val="0"/>
        <w:keepLines w:val="0"/>
        <w:pageBreakBefore w:val="0"/>
        <w:widowControl w:val="0"/>
        <w:kinsoku/>
        <w:wordWrap/>
        <w:overflowPunct/>
        <w:topLinePunct w:val="0"/>
        <w:autoSpaceDE/>
        <w:autoSpaceDN/>
        <w:bidi w:val="0"/>
        <w:adjustRightInd/>
        <w:snapToGrid/>
        <w:spacing w:line="560" w:lineRule="exact"/>
        <w:ind w:left="263" w:leftChars="12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（参考格式）</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黑体" w:hAnsi="黑体" w:eastAsia="黑体" w:cs="黑体"/>
          <w:sz w:val="32"/>
          <w:szCs w:val="32"/>
        </w:rPr>
      </w:pPr>
      <w:r>
        <w:rPr>
          <w:rFonts w:hint="eastAsia" w:ascii="黑体" w:hAnsi="黑体" w:eastAsia="黑体" w:cs="黑体"/>
          <w:sz w:val="32"/>
          <w:szCs w:val="32"/>
        </w:rPr>
        <w:t>一、事前绩效评估对象基本情况</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0" w:name="_GoBack"/>
      <w:r>
        <w:rPr>
          <w:rFonts w:hint="eastAsia" w:ascii="仿宋_GB2312" w:hAnsi="仿宋_GB2312" w:eastAsia="仿宋_GB2312" w:cs="仿宋_GB2312"/>
          <w:sz w:val="32"/>
          <w:szCs w:val="32"/>
        </w:rPr>
        <w:t>项目（政策）立项背景</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（二）项目（政策）主要内容</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（三）项目（政策）绩效目标</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（四）项目（政策）资金构成</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黑体" w:hAnsi="黑体" w:eastAsia="黑体" w:cs="黑体"/>
          <w:sz w:val="32"/>
          <w:szCs w:val="32"/>
        </w:rPr>
      </w:pPr>
      <w:r>
        <w:rPr>
          <w:rFonts w:hint="eastAsia" w:ascii="黑体" w:hAnsi="黑体" w:eastAsia="黑体" w:cs="黑体"/>
          <w:sz w:val="32"/>
          <w:szCs w:val="32"/>
        </w:rPr>
        <w:t>二、事前绩效评估工作开</w:t>
      </w:r>
      <w:bookmarkEnd w:id="0"/>
      <w:r>
        <w:rPr>
          <w:rFonts w:hint="eastAsia" w:ascii="黑体" w:hAnsi="黑体" w:eastAsia="黑体" w:cs="黑体"/>
          <w:sz w:val="32"/>
          <w:szCs w:val="32"/>
        </w:rPr>
        <w:t>展情况</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（一）评估目的及对象。</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（二）评估思路及方式、方法。</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（三）评估工作程序。</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三、综合评估情况与评估结论</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（一）立项必要性/政策设立必要性。</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（二）投入经济性/政策保障充分性</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（三）绩效目标合理性/政策目标合理性。</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（四）实施方案可行性/政策实施可持续性</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（五）筹资合规性/政策资金合规性</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（六）总体结论。</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黑体" w:hAnsi="黑体" w:eastAsia="黑体" w:cs="黑体"/>
          <w:sz w:val="32"/>
          <w:szCs w:val="32"/>
        </w:rPr>
      </w:pPr>
      <w:r>
        <w:rPr>
          <w:rFonts w:hint="eastAsia" w:ascii="黑体" w:hAnsi="黑体" w:eastAsia="黑体" w:cs="黑体"/>
          <w:sz w:val="32"/>
          <w:szCs w:val="32"/>
        </w:rPr>
        <w:t>四、相关建议</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仿宋" w:hAnsi="仿宋" w:eastAsia="仿宋"/>
          <w:sz w:val="32"/>
          <w:szCs w:val="32"/>
        </w:rPr>
      </w:pPr>
      <w:r>
        <w:rPr>
          <w:rFonts w:hint="eastAsia" w:ascii="黑体" w:hAnsi="黑体" w:eastAsia="黑体" w:cs="黑体"/>
          <w:sz w:val="32"/>
          <w:szCs w:val="32"/>
        </w:rPr>
        <w:t>五、其他需要说明的问题</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阐述评估工作基本前提、假设、报告适用范围、相关责任以及需要说明的其他问题等。</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ascii="仿宋" w:hAnsi="仿宋" w:eastAsia="仿宋"/>
          <w:sz w:val="32"/>
          <w:szCs w:val="32"/>
        </w:rPr>
      </w:pPr>
      <w:r>
        <w:rPr>
          <w:rFonts w:hint="eastAsia" w:ascii="黑体" w:hAnsi="黑体" w:eastAsia="黑体" w:cs="黑体"/>
          <w:sz w:val="32"/>
          <w:szCs w:val="32"/>
        </w:rPr>
        <w:t>六、附件</w:t>
      </w: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项目或政策相关申报资料、专家评估意见、专家及评估组人员情况、其他需作为附件的评估佐证材料。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263" w:leftChars="125"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政策和项目事前绩效评估评分指标体系（附后）</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sz w:val="32"/>
          <w:szCs w:val="32"/>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事前绩效评估评分指标体系（项目）</w:t>
      </w:r>
    </w:p>
    <w:p>
      <w:pPr>
        <w:spacing w:line="520" w:lineRule="exact"/>
        <w:rPr>
          <w:rFonts w:ascii="Calibri"/>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081"/>
        <w:gridCol w:w="627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20"/>
                <w:szCs w:val="20"/>
              </w:rPr>
            </w:pPr>
            <w:r>
              <w:rPr>
                <w:rFonts w:hint="eastAsia" w:ascii="宋体" w:hAnsi="宋体" w:cs="宋体"/>
                <w:b/>
                <w:bCs/>
                <w:kern w:val="0"/>
                <w:sz w:val="20"/>
                <w:szCs w:val="20"/>
              </w:rPr>
              <w:t>评价要点</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立项</w:t>
            </w:r>
          </w:p>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必要性</w:t>
            </w:r>
          </w:p>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（30）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政策相关性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是否与国家及省、市相关行业宏观政策相关。</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职能相关性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是否与主管部门职能、规划及当年重点工作相关。</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需求相关性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①是否具有现实需求，需求是否迫切；②是否有确定的服务对象或受益对象。③是否与其他相关部门同类项目或部门内部相关项目重复；</w:t>
            </w:r>
            <w:r>
              <w:rPr>
                <w:rFonts w:hint="eastAsia" w:ascii="宋体" w:hAnsi="宋体" w:cs="宋体"/>
                <w:kern w:val="0"/>
                <w:szCs w:val="21"/>
              </w:rPr>
              <w:t>④</w:t>
            </w:r>
            <w:r>
              <w:rPr>
                <w:rFonts w:hint="eastAsia" w:ascii="宋体" w:hAnsi="宋体" w:cs="宋体"/>
                <w:color w:val="000000"/>
                <w:kern w:val="0"/>
                <w:szCs w:val="21"/>
              </w:rPr>
              <w:t>是否有可替代性</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财政投入相关性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是否具有公共性，是否属于公共财政支持范围。</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投入</w:t>
            </w:r>
          </w:p>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经济性（20）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投入合理性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①项目投入资源及成本是否与预期产出及效果相匹配；②投入成本是否合理，成本测算依据是否充分，是否按相关标准测算；③其他渠道是否有充分投入。</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成本控制措施有效性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项目是否采取相关成本控制措施，成本控制措施是否有效。</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绩效目标合理性（15）</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目标明确性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 xml:space="preserve">①绩效目标设定是否明确；②与部门中长期规划目标、年度工作目标是否一致；③项目受益群体定位是否准确；④绩效目标和指标设置是否与项目高度相关。 </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目标合理性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①绩效目标与项目预计解决的问题是否匹配；②绩效目标与现实需求是否匹配；③绩效目标是否具有一定的前瞻性和挑战性；④项目预期产出和效益是否符合正常的业绩水平；⑤绩效指标是否细化、量化，指标值是否合理、可考核。</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实施方案有效性</w:t>
            </w:r>
          </w:p>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（20）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实施内容明确性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项目内容是否明确、具体，与绩效目标是否匹配。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实施方案可行性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①项目实施方案设计是否合理、可行，与项目内容及绩效目标是否匹配；②项目组织、进度安排是否合理；③与项目有关的人员、设施、物资等基础保障条件是否具备。</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过程控制有效性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⑤是否有保证项目绩效可持续发挥的配套机制，项目设立、清理和退出是否有明确的时限和步骤。</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筹资</w:t>
            </w:r>
          </w:p>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合规性（15）</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筹资合规性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①资金来源渠道是否符合相关规定；②资金筹措程序是否科学规范，是否经过相关论证，论证资料是否齐全；③资金筹措是否体现权责对等，财权和事权是否匹配。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财政投入能力</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color w:val="000000"/>
                <w:kern w:val="0"/>
                <w:szCs w:val="21"/>
              </w:rPr>
              <w:t>①各级财政资金配套方式和承受能力是否科学合理；②各级财政部门和其他部门是否有类似项目资金重复投入；③财政资金支持方式是否科学合理。</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筹资风险可控性</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①对筹资风险认识是否全面；②是否针对预期风险设定应对措施；③应对措施是否可行、有效。</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5</w:t>
            </w:r>
          </w:p>
        </w:tc>
      </w:tr>
    </w:tbl>
    <w:p>
      <w:pPr>
        <w:spacing w:line="520" w:lineRule="exact"/>
        <w:rPr>
          <w:rFonts w:ascii="仿宋_GB2312" w:eastAsia="仿宋_GB2312"/>
          <w:b/>
          <w:sz w:val="30"/>
          <w:szCs w:val="30"/>
        </w:rPr>
      </w:pPr>
      <w:r>
        <w:rPr>
          <w:rFonts w:hint="eastAsia" w:ascii="仿宋_GB2312" w:eastAsia="仿宋_GB2312"/>
          <w:b/>
          <w:sz w:val="30"/>
          <w:szCs w:val="30"/>
        </w:rPr>
        <w:t>说明：</w:t>
      </w:r>
      <w:r>
        <w:rPr>
          <w:rFonts w:hint="eastAsia" w:ascii="仿宋_GB2312" w:eastAsia="仿宋_GB2312"/>
          <w:b/>
          <w:sz w:val="30"/>
          <w:szCs w:val="30"/>
        </w:rPr>
        <w:tab/>
      </w:r>
      <w:r>
        <w:rPr>
          <w:rFonts w:hint="eastAsia" w:ascii="仿宋_GB2312" w:eastAsia="仿宋_GB2312"/>
          <w:b/>
          <w:sz w:val="30"/>
          <w:szCs w:val="30"/>
        </w:rPr>
        <w:tab/>
      </w:r>
      <w:r>
        <w:rPr>
          <w:rFonts w:hint="eastAsia" w:ascii="仿宋_GB2312" w:eastAsia="仿宋_GB2312"/>
          <w:b/>
          <w:sz w:val="30"/>
          <w:szCs w:val="30"/>
        </w:rPr>
        <w:tab/>
      </w:r>
    </w:p>
    <w:p>
      <w:pPr>
        <w:spacing w:line="500" w:lineRule="exact"/>
        <w:rPr>
          <w:rFonts w:ascii="仿宋_GB2312" w:eastAsia="仿宋_GB2312"/>
          <w:sz w:val="28"/>
          <w:szCs w:val="28"/>
        </w:rPr>
      </w:pPr>
      <w:r>
        <w:rPr>
          <w:rFonts w:hint="eastAsia" w:ascii="仿宋_GB2312" w:eastAsia="仿宋_GB2312"/>
          <w:b/>
          <w:sz w:val="28"/>
          <w:szCs w:val="28"/>
        </w:rPr>
        <w:t>1.</w:t>
      </w:r>
      <w:r>
        <w:rPr>
          <w:rFonts w:hint="eastAsia" w:ascii="仿宋_GB2312" w:eastAsia="仿宋_GB2312"/>
          <w:sz w:val="28"/>
          <w:szCs w:val="28"/>
        </w:rPr>
        <w:t>项目整体评估得分低于70分(不含)为差，评估结论为“建议不予支持”。</w:t>
      </w:r>
    </w:p>
    <w:p>
      <w:pPr>
        <w:spacing w:line="500" w:lineRule="exact"/>
        <w:rPr>
          <w:rFonts w:ascii="仿宋_GB2312" w:eastAsia="仿宋_GB2312"/>
          <w:sz w:val="28"/>
          <w:szCs w:val="28"/>
        </w:rPr>
      </w:pPr>
      <w:r>
        <w:rPr>
          <w:rFonts w:hint="eastAsia" w:ascii="仿宋_GB2312" w:eastAsia="仿宋_GB2312"/>
          <w:b/>
          <w:sz w:val="28"/>
          <w:szCs w:val="28"/>
        </w:rPr>
        <w:t>2.</w:t>
      </w:r>
      <w:r>
        <w:rPr>
          <w:rFonts w:hint="eastAsia" w:ascii="仿宋_GB2312" w:eastAsia="仿宋_GB2312"/>
          <w:sz w:val="28"/>
          <w:szCs w:val="28"/>
        </w:rPr>
        <w:t>项目整体评估得分70分(含)-80分(不含)为中，评估结论为“建议调整完善后予以支持”，需明确调整完善的方向和内容。</w:t>
      </w:r>
      <w:r>
        <w:rPr>
          <w:rFonts w:hint="eastAsia" w:ascii="仿宋_GB2312" w:eastAsia="仿宋_GB2312"/>
          <w:sz w:val="28"/>
          <w:szCs w:val="28"/>
        </w:rPr>
        <w:tab/>
      </w:r>
      <w:r>
        <w:rPr>
          <w:rFonts w:hint="eastAsia" w:ascii="仿宋_GB2312" w:eastAsia="仿宋_GB2312"/>
          <w:sz w:val="28"/>
          <w:szCs w:val="28"/>
        </w:rPr>
        <w:tab/>
      </w:r>
    </w:p>
    <w:p>
      <w:pPr>
        <w:spacing w:line="500" w:lineRule="exact"/>
        <w:rPr>
          <w:rFonts w:hint="eastAsia" w:ascii="仿宋_GB2312" w:eastAsia="仿宋_GB2312"/>
          <w:sz w:val="28"/>
          <w:szCs w:val="28"/>
        </w:rPr>
      </w:pPr>
      <w:r>
        <w:rPr>
          <w:rFonts w:hint="eastAsia" w:ascii="仿宋_GB2312" w:eastAsia="仿宋_GB2312"/>
          <w:b/>
          <w:sz w:val="28"/>
          <w:szCs w:val="28"/>
        </w:rPr>
        <w:t>3.</w:t>
      </w:r>
      <w:r>
        <w:rPr>
          <w:rFonts w:hint="eastAsia" w:ascii="仿宋_GB2312" w:eastAsia="仿宋_GB2312"/>
          <w:sz w:val="28"/>
          <w:szCs w:val="28"/>
        </w:rPr>
        <w:t>项目整体评估得分80分(含)-90分(不含)为良、90分(含)-100分为优，评估结论为“建议予以支持”。</w:t>
      </w:r>
    </w:p>
    <w:p>
      <w:pPr>
        <w:spacing w:line="520" w:lineRule="exact"/>
        <w:rPr>
          <w:rFonts w:ascii="仿宋_GB2312" w:eastAsia="仿宋_GB2312"/>
          <w:sz w:val="32"/>
          <w:szCs w:val="32"/>
        </w:rPr>
      </w:pPr>
    </w:p>
    <w:p>
      <w:pPr>
        <w:widowControl/>
        <w:jc w:val="both"/>
        <w:rPr>
          <w:rFonts w:hint="eastAsia" w:ascii="方正小标宋简体" w:hAnsi="黑体" w:eastAsia="方正小标宋简体" w:cs="黑体"/>
          <w:sz w:val="44"/>
          <w:szCs w:val="44"/>
        </w:rPr>
      </w:pPr>
    </w:p>
    <w:p>
      <w:pPr>
        <w:widowControl/>
        <w:jc w:val="center"/>
        <w:rPr>
          <w:rFonts w:ascii="方正小标宋简体" w:hAnsi="方正小标宋简体" w:eastAsia="方正小标宋简体" w:cs="方正小标宋简体"/>
          <w:sz w:val="44"/>
          <w:szCs w:val="44"/>
        </w:rPr>
      </w:pPr>
      <w:r>
        <w:rPr>
          <w:rFonts w:hint="eastAsia" w:ascii="方正小标宋简体" w:hAnsi="黑体" w:eastAsia="方正小标宋简体" w:cs="黑体"/>
          <w:sz w:val="44"/>
          <w:szCs w:val="44"/>
        </w:rPr>
        <w:t>事前绩效评估评分指标体系（政策）</w:t>
      </w:r>
    </w:p>
    <w:tbl>
      <w:tblPr>
        <w:tblStyle w:val="4"/>
        <w:tblW w:w="0" w:type="auto"/>
        <w:jc w:val="center"/>
        <w:tblLayout w:type="fixed"/>
        <w:tblCellMar>
          <w:top w:w="0" w:type="dxa"/>
          <w:left w:w="108" w:type="dxa"/>
          <w:bottom w:w="0" w:type="dxa"/>
          <w:right w:w="108" w:type="dxa"/>
        </w:tblCellMar>
      </w:tblPr>
      <w:tblGrid>
        <w:gridCol w:w="1101"/>
        <w:gridCol w:w="1133"/>
        <w:gridCol w:w="4514"/>
        <w:gridCol w:w="645"/>
        <w:gridCol w:w="1667"/>
      </w:tblGrid>
      <w:tr>
        <w:tblPrEx>
          <w:tblCellMar>
            <w:top w:w="0" w:type="dxa"/>
            <w:left w:w="108" w:type="dxa"/>
            <w:bottom w:w="0" w:type="dxa"/>
            <w:right w:w="108" w:type="dxa"/>
          </w:tblCellMar>
        </w:tblPrEx>
        <w:trPr>
          <w:trHeight w:val="615" w:hRule="atLeast"/>
          <w:tblHeade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451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评估要点</w:t>
            </w:r>
          </w:p>
        </w:tc>
        <w:tc>
          <w:tcPr>
            <w:tcW w:w="64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6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cantSplit/>
          <w:trHeight w:val="2363" w:hRule="atLeast"/>
          <w:jc w:val="center"/>
        </w:trPr>
        <w:tc>
          <w:tcPr>
            <w:tcW w:w="110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政策设立必要性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(30分）</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依据充分性</w:t>
            </w:r>
          </w:p>
        </w:tc>
        <w:tc>
          <w:tcPr>
            <w:tcW w:w="4514" w:type="dxa"/>
            <w:tcBorders>
              <w:top w:val="nil"/>
              <w:left w:val="nil"/>
              <w:bottom w:val="single" w:color="auto" w:sz="4" w:space="0"/>
              <w:right w:val="single" w:color="auto" w:sz="4" w:space="0"/>
            </w:tcBorders>
            <w:noWrap w:val="0"/>
            <w:vAlign w:val="center"/>
          </w:tcPr>
          <w:p>
            <w:pPr>
              <w:widowControl/>
              <w:spacing w:line="280" w:lineRule="exact"/>
              <w:ind w:left="-62"/>
              <w:rPr>
                <w:rFonts w:ascii="宋体" w:hAnsi="宋体" w:cs="宋体"/>
                <w:kern w:val="0"/>
                <w:szCs w:val="21"/>
              </w:rPr>
            </w:pPr>
            <w:r>
              <w:rPr>
                <w:rFonts w:hint="eastAsia" w:ascii="宋体" w:hAnsi="宋体" w:cs="宋体"/>
                <w:kern w:val="0"/>
                <w:szCs w:val="21"/>
              </w:rPr>
              <w:t>①政策设立是否具有现实需求、需求是否迫切，与政策所要解决的问题是否相对应；②与国家法律法规、国民经济和社会发展总体规划、国家行业规划及省、市经济和社会发展规划、行业发展规划等是否相符；③与政策主体（制定/执行）部门职能是否相符；④是否与其他政策存在交叉、重复。</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20</w:t>
            </w:r>
          </w:p>
        </w:tc>
        <w:tc>
          <w:tcPr>
            <w:tcW w:w="1667" w:type="dxa"/>
            <w:tcBorders>
              <w:top w:val="nil"/>
              <w:left w:val="nil"/>
              <w:bottom w:val="single" w:color="auto" w:sz="4" w:space="0"/>
              <w:right w:val="single" w:color="auto" w:sz="4" w:space="0"/>
            </w:tcBorders>
            <w:noWrap w:val="0"/>
            <w:vAlign w:val="center"/>
          </w:tcPr>
          <w:p>
            <w:pPr>
              <w:widowControl/>
              <w:spacing w:line="240" w:lineRule="exact"/>
              <w:ind w:left="-62"/>
              <w:rPr>
                <w:rFonts w:ascii="宋体" w:hAnsi="宋体" w:cs="宋体"/>
                <w:color w:val="000000"/>
                <w:kern w:val="0"/>
                <w:szCs w:val="21"/>
              </w:rPr>
            </w:pPr>
            <w:r>
              <w:rPr>
                <w:rFonts w:hint="eastAsia" w:ascii="宋体" w:hAnsi="宋体" w:cs="宋体"/>
                <w:color w:val="000000"/>
                <w:kern w:val="0"/>
                <w:szCs w:val="21"/>
              </w:rPr>
              <w:t>为否定性指标，二级指标得分率80%（含）以下，即16分（含）以下，则结论为不予支持。</w:t>
            </w:r>
          </w:p>
        </w:tc>
      </w:tr>
      <w:tr>
        <w:tblPrEx>
          <w:tblCellMar>
            <w:top w:w="0" w:type="dxa"/>
            <w:left w:w="108" w:type="dxa"/>
            <w:bottom w:w="0" w:type="dxa"/>
            <w:right w:w="108" w:type="dxa"/>
          </w:tblCellMar>
        </w:tblPrEx>
        <w:trPr>
          <w:cantSplit/>
          <w:trHeight w:val="2114"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Cs w:val="21"/>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决策科学性</w:t>
            </w:r>
          </w:p>
        </w:tc>
        <w:tc>
          <w:tcPr>
            <w:tcW w:w="4514" w:type="dxa"/>
            <w:tcBorders>
              <w:top w:val="nil"/>
              <w:left w:val="nil"/>
              <w:bottom w:val="single" w:color="auto" w:sz="4" w:space="0"/>
              <w:right w:val="single" w:color="auto" w:sz="4" w:space="0"/>
            </w:tcBorders>
            <w:noWrap w:val="0"/>
            <w:vAlign w:val="center"/>
          </w:tcPr>
          <w:p>
            <w:pPr>
              <w:widowControl/>
              <w:spacing w:line="280" w:lineRule="exact"/>
              <w:ind w:left="-65"/>
              <w:rPr>
                <w:rFonts w:ascii="宋体" w:hAnsi="宋体" w:cs="宋体"/>
                <w:kern w:val="0"/>
                <w:szCs w:val="21"/>
              </w:rPr>
            </w:pPr>
            <w:r>
              <w:rPr>
                <w:rFonts w:hint="eastAsia" w:ascii="宋体" w:hAnsi="宋体" w:cs="宋体"/>
                <w:kern w:val="0"/>
                <w:szCs w:val="21"/>
              </w:rPr>
              <w:t>①政策是否经过了充分调研；②政策文件的拟定是否经过了评审、专家咨询、询问、问讯或公众听证等环节；③调研报告、可研、评审、批示等相关资料是否齐全；④政策制定主体或牵头主体是否明确，职责是否清晰，责任是否可追溯；⑤是否属于因绩效不高等已经退出的政策重新安排。</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667"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Cs w:val="21"/>
              </w:rPr>
            </w:pPr>
            <w:r>
              <w:rPr>
                <w:rFonts w:hint="eastAsia" w:ascii="宋体" w:hAnsi="宋体" w:cs="宋体"/>
                <w:color w:val="000000"/>
                <w:kern w:val="0"/>
                <w:szCs w:val="21"/>
              </w:rPr>
              <w:t>为否定性指标，二级指标得分率80%（含）以下，即8分（含）以下，则结论为不予支持。</w:t>
            </w:r>
          </w:p>
        </w:tc>
      </w:tr>
      <w:tr>
        <w:tblPrEx>
          <w:tblCellMar>
            <w:top w:w="0" w:type="dxa"/>
            <w:left w:w="108" w:type="dxa"/>
            <w:bottom w:w="0" w:type="dxa"/>
            <w:right w:w="108" w:type="dxa"/>
          </w:tblCellMar>
        </w:tblPrEx>
        <w:trPr>
          <w:cantSplit/>
          <w:trHeight w:val="2738" w:hRule="atLeast"/>
          <w:jc w:val="center"/>
        </w:trPr>
        <w:tc>
          <w:tcPr>
            <w:tcW w:w="110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FFFFFF"/>
                <w:kern w:val="0"/>
                <w:szCs w:val="21"/>
              </w:rPr>
            </w:pP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政策目标合理性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（30分）</w:t>
            </w: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政策目标合理性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（30分）</w:t>
            </w: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p>
            <w:pPr>
              <w:widowControl/>
              <w:spacing w:line="240" w:lineRule="exact"/>
              <w:jc w:val="center"/>
              <w:rPr>
                <w:rFonts w:ascii="宋体" w:hAnsi="宋体" w:cs="宋体"/>
                <w:color w:val="000000"/>
                <w:kern w:val="0"/>
                <w:szCs w:val="21"/>
              </w:rPr>
            </w:pPr>
          </w:p>
        </w:tc>
        <w:tc>
          <w:tcPr>
            <w:tcW w:w="1133"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目标明确性</w:t>
            </w:r>
          </w:p>
        </w:tc>
        <w:tc>
          <w:tcPr>
            <w:tcW w:w="4514" w:type="dxa"/>
            <w:tcBorders>
              <w:top w:val="nil"/>
              <w:left w:val="nil"/>
              <w:bottom w:val="single" w:color="auto" w:sz="4" w:space="0"/>
              <w:right w:val="single" w:color="auto" w:sz="4" w:space="0"/>
            </w:tcBorders>
            <w:noWrap w:val="0"/>
            <w:vAlign w:val="center"/>
          </w:tcPr>
          <w:p>
            <w:pPr>
              <w:widowControl/>
              <w:spacing w:line="280" w:lineRule="exact"/>
              <w:rPr>
                <w:rFonts w:ascii="宋体" w:hAnsi="宋体" w:cs="宋体"/>
                <w:kern w:val="0"/>
                <w:szCs w:val="21"/>
              </w:rPr>
            </w:pPr>
            <w:r>
              <w:rPr>
                <w:rFonts w:hint="eastAsia" w:ascii="宋体" w:hAnsi="宋体" w:cs="宋体"/>
                <w:kern w:val="0"/>
                <w:szCs w:val="21"/>
              </w:rPr>
              <w:t>①是否有明确的受益范围和受益对象，是否具有公共性、无差异性、非排他性；②绩效目标是否明确，是否设定总体性目标和阶段性目标，内容是否具体，表述是否准确；③绩效目标是否清晰，能否反映政策的主要内容，是否通过细化、量化、可衡量的绩效指标充分体现了预期产出和效果；④是否将绩效目标及指标细化分解到具体工作任务，各任务之间是否交叉重复、执行主体是否明确、与其职能是否相符。</w:t>
            </w:r>
          </w:p>
        </w:tc>
        <w:tc>
          <w:tcPr>
            <w:tcW w:w="6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66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为否定性指标，二级指标得分率80%（含）以下，即12分（含）以下，则结论为不予支持。</w:t>
            </w:r>
          </w:p>
        </w:tc>
      </w:tr>
      <w:tr>
        <w:tblPrEx>
          <w:tblCellMar>
            <w:top w:w="0" w:type="dxa"/>
            <w:left w:w="108" w:type="dxa"/>
            <w:bottom w:w="0" w:type="dxa"/>
            <w:right w:w="108" w:type="dxa"/>
          </w:tblCellMar>
        </w:tblPrEx>
        <w:trPr>
          <w:cantSplit/>
          <w:trHeight w:val="1644"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Cs w:val="21"/>
              </w:rPr>
            </w:pPr>
          </w:p>
        </w:tc>
        <w:tc>
          <w:tcPr>
            <w:tcW w:w="1133"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4514" w:type="dxa"/>
            <w:tcBorders>
              <w:top w:val="nil"/>
              <w:left w:val="nil"/>
              <w:bottom w:val="single" w:color="auto" w:sz="4" w:space="0"/>
              <w:right w:val="single" w:color="auto" w:sz="4" w:space="0"/>
            </w:tcBorders>
            <w:noWrap w:val="0"/>
            <w:vAlign w:val="center"/>
          </w:tcPr>
          <w:p>
            <w:pPr>
              <w:widowControl/>
              <w:spacing w:line="280" w:lineRule="exact"/>
              <w:rPr>
                <w:rFonts w:ascii="宋体" w:hAnsi="宋体" w:cs="宋体"/>
                <w:kern w:val="0"/>
                <w:szCs w:val="21"/>
              </w:rPr>
            </w:pPr>
            <w:r>
              <w:rPr>
                <w:rFonts w:hint="eastAsia" w:ascii="宋体" w:hAnsi="宋体" w:cs="宋体"/>
                <w:kern w:val="0"/>
                <w:szCs w:val="21"/>
              </w:rPr>
              <w:t>（注：公共性考虑政策实施能够满足社会绝大多数人享受政策效益的程度；无差异性考虑政策受益群体所享受到的效益是否存在明显差异；非排他性考察政策实施是否损害特定群体利益或将其排除在受益范围之外。）</w:t>
            </w:r>
          </w:p>
        </w:tc>
        <w:tc>
          <w:tcPr>
            <w:tcW w:w="6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6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cantSplit/>
          <w:trHeight w:val="2787"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Cs w:val="21"/>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目标合理性</w:t>
            </w:r>
          </w:p>
        </w:tc>
        <w:tc>
          <w:tcPr>
            <w:tcW w:w="4514" w:type="dxa"/>
            <w:tcBorders>
              <w:top w:val="nil"/>
              <w:left w:val="nil"/>
              <w:bottom w:val="single" w:color="auto" w:sz="4" w:space="0"/>
              <w:right w:val="single" w:color="auto" w:sz="4" w:space="0"/>
            </w:tcBorders>
            <w:noWrap w:val="0"/>
            <w:vAlign w:val="center"/>
          </w:tcPr>
          <w:p>
            <w:pPr>
              <w:widowControl/>
              <w:spacing w:line="280" w:lineRule="exact"/>
              <w:ind w:left="-65"/>
              <w:rPr>
                <w:rFonts w:ascii="宋体" w:hAnsi="宋体" w:cs="宋体"/>
                <w:kern w:val="0"/>
                <w:szCs w:val="21"/>
              </w:rPr>
            </w:pPr>
            <w:r>
              <w:rPr>
                <w:rFonts w:hint="eastAsia" w:ascii="宋体" w:hAnsi="宋体" w:cs="宋体"/>
                <w:kern w:val="0"/>
                <w:szCs w:val="21"/>
              </w:rPr>
              <w:t>①政策目标是否具有前瞻性、系统性及引导性；②政策目标是否体现了政策的稳定性和持续性，如，政策总体执行期限、政策当前所处阶段以及政策后期逐步退出等；③预期绩效是否显著，能否体现政策所需解决问题的明显改善；④是否选取最能体现总体目标实现程度的关键指标并明确了指标值，指标值是否符合行业正常水平或事业发展规律；⑤与其他地区同类项目对比，是否存在预期绩效较大差异等。</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66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cantSplit/>
          <w:trHeight w:val="1833" w:hRule="atLeast"/>
          <w:jc w:val="center"/>
        </w:trPr>
        <w:tc>
          <w:tcPr>
            <w:tcW w:w="110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政策资金合规性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（15分）</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财政投入可行性</w:t>
            </w:r>
          </w:p>
        </w:tc>
        <w:tc>
          <w:tcPr>
            <w:tcW w:w="4514" w:type="dxa"/>
            <w:tcBorders>
              <w:top w:val="nil"/>
              <w:left w:val="nil"/>
              <w:bottom w:val="single" w:color="auto" w:sz="4" w:space="0"/>
              <w:right w:val="single" w:color="auto" w:sz="4" w:space="0"/>
            </w:tcBorders>
            <w:noWrap w:val="0"/>
            <w:vAlign w:val="center"/>
          </w:tcPr>
          <w:p>
            <w:pPr>
              <w:widowControl/>
              <w:spacing w:line="280" w:lineRule="exact"/>
              <w:ind w:left="-65" w:leftChars="-31"/>
              <w:rPr>
                <w:rFonts w:ascii="宋体" w:hAnsi="宋体" w:cs="宋体"/>
                <w:kern w:val="0"/>
                <w:szCs w:val="21"/>
              </w:rPr>
            </w:pPr>
            <w:r>
              <w:rPr>
                <w:rFonts w:hint="eastAsia" w:ascii="宋体" w:hAnsi="宋体" w:cs="宋体"/>
                <w:kern w:val="0"/>
                <w:szCs w:val="21"/>
              </w:rPr>
              <w:t>①是否属于公共财政支持范围，政府与市场边界界定是否清晰；②财政支持方式是否合理；③政策的财政事权与支出责任是否相适应；④是否分析财政承受能力及财政资金风险。⑤是否符合预算法、政府债务管理等相关规定。</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6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cantSplit/>
          <w:trHeight w:val="1255" w:hRule="atLeast"/>
          <w:jc w:val="center"/>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Cs w:val="21"/>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资金分配合理性</w:t>
            </w:r>
          </w:p>
        </w:tc>
        <w:tc>
          <w:tcPr>
            <w:tcW w:w="4514" w:type="dxa"/>
            <w:tcBorders>
              <w:top w:val="nil"/>
              <w:left w:val="nil"/>
              <w:bottom w:val="single" w:color="auto" w:sz="4" w:space="0"/>
              <w:right w:val="single" w:color="auto" w:sz="4" w:space="0"/>
            </w:tcBorders>
            <w:noWrap w:val="0"/>
            <w:vAlign w:val="center"/>
          </w:tcPr>
          <w:p>
            <w:pPr>
              <w:widowControl/>
              <w:spacing w:line="280" w:lineRule="exact"/>
              <w:rPr>
                <w:rFonts w:ascii="宋体" w:hAnsi="宋体" w:cs="宋体"/>
                <w:kern w:val="0"/>
                <w:szCs w:val="21"/>
              </w:rPr>
            </w:pPr>
            <w:r>
              <w:rPr>
                <w:rFonts w:hint="eastAsia" w:ascii="宋体" w:hAnsi="宋体" w:cs="宋体"/>
                <w:kern w:val="0"/>
                <w:szCs w:val="21"/>
              </w:rPr>
              <w:t>①资金分配依据是否合理，是否具有或符合相关政策的测算标准或定额标准；②资金分配结果是否与政策目标、政策内容相匹配。</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66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cantSplit/>
          <w:trHeight w:val="1960" w:hRule="atLeast"/>
          <w:jc w:val="center"/>
        </w:trPr>
        <w:tc>
          <w:tcPr>
            <w:tcW w:w="110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政策保障充分性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（15分）</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保障措施得当性</w:t>
            </w:r>
          </w:p>
        </w:tc>
        <w:tc>
          <w:tcPr>
            <w:tcW w:w="4514" w:type="dxa"/>
            <w:tcBorders>
              <w:top w:val="nil"/>
              <w:left w:val="nil"/>
              <w:bottom w:val="single" w:color="auto" w:sz="4" w:space="0"/>
              <w:right w:val="single" w:color="auto" w:sz="4" w:space="0"/>
            </w:tcBorders>
            <w:noWrap w:val="0"/>
            <w:vAlign w:val="center"/>
          </w:tcPr>
          <w:p>
            <w:pPr>
              <w:widowControl/>
              <w:spacing w:line="280" w:lineRule="exact"/>
              <w:rPr>
                <w:rFonts w:ascii="宋体" w:hAnsi="宋体" w:cs="宋体"/>
                <w:kern w:val="0"/>
                <w:szCs w:val="21"/>
              </w:rPr>
            </w:pPr>
            <w:r>
              <w:rPr>
                <w:rFonts w:hint="eastAsia" w:ascii="宋体" w:hAnsi="宋体" w:cs="宋体"/>
                <w:kern w:val="0"/>
                <w:szCs w:val="21"/>
              </w:rPr>
              <w:t>①是否明确了政策组织构架、运行机制以及制度保障；②技术路线是否可行、先进，是否有技术经济性的优化比较；③是否订立明确、合理的计划进度安排；④分析风险是否全面深入、是否有应对措施及应急预案等。</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66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cantSplit/>
          <w:trHeight w:val="190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政策实施可持续性</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（10分）</w:t>
            </w:r>
          </w:p>
        </w:tc>
        <w:tc>
          <w:tcPr>
            <w:tcW w:w="113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政策资源可持续性</w:t>
            </w:r>
          </w:p>
        </w:tc>
        <w:tc>
          <w:tcPr>
            <w:tcW w:w="4514" w:type="dxa"/>
            <w:tcBorders>
              <w:top w:val="single" w:color="auto" w:sz="4" w:space="0"/>
              <w:left w:val="nil"/>
              <w:bottom w:val="single" w:color="auto" w:sz="4" w:space="0"/>
              <w:right w:val="single" w:color="auto" w:sz="4" w:space="0"/>
            </w:tcBorders>
            <w:noWrap w:val="0"/>
            <w:vAlign w:val="center"/>
          </w:tcPr>
          <w:p>
            <w:pPr>
              <w:widowControl/>
              <w:spacing w:line="280" w:lineRule="exact"/>
              <w:rPr>
                <w:rFonts w:ascii="宋体" w:hAnsi="宋体" w:cs="宋体"/>
                <w:kern w:val="0"/>
                <w:szCs w:val="21"/>
              </w:rPr>
            </w:pPr>
            <w:r>
              <w:rPr>
                <w:rFonts w:hint="eastAsia" w:ascii="宋体" w:hAnsi="宋体" w:cs="宋体"/>
                <w:kern w:val="0"/>
                <w:szCs w:val="21"/>
              </w:rPr>
              <w:t>①政策实施是否有可持续的组织、政策等环境；②政策实施是否具备可持续的人员、资金、技术等条件和能力；③是否明确政策实施期限；④政策清理、退出和调整的制度安排是否明确可行；⑤是否按要求实行全生命周期管理。</w:t>
            </w:r>
          </w:p>
        </w:tc>
        <w:tc>
          <w:tcPr>
            <w:tcW w:w="64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6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Cs w:val="21"/>
              </w:rPr>
            </w:pPr>
          </w:p>
        </w:tc>
      </w:tr>
    </w:tbl>
    <w:p/>
    <w:p>
      <w:pPr>
        <w:widowControl/>
        <w:jc w:val="left"/>
        <w:rPr>
          <w:rFonts w:ascii="仿宋_GB2312" w:hAnsi="Calibri" w:eastAsia="仿宋_GB2312"/>
          <w:sz w:val="32"/>
          <w:szCs w:val="32"/>
        </w:rPr>
      </w:pPr>
    </w:p>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6A3"/>
    <w:rsid w:val="00116B77"/>
    <w:rsid w:val="001627CF"/>
    <w:rsid w:val="00176210"/>
    <w:rsid w:val="00197168"/>
    <w:rsid w:val="001B2DD3"/>
    <w:rsid w:val="001D2D4C"/>
    <w:rsid w:val="003426C6"/>
    <w:rsid w:val="00383AC5"/>
    <w:rsid w:val="003B412A"/>
    <w:rsid w:val="00432709"/>
    <w:rsid w:val="00491FCD"/>
    <w:rsid w:val="004E6C05"/>
    <w:rsid w:val="004F6F9F"/>
    <w:rsid w:val="00546BCB"/>
    <w:rsid w:val="00597732"/>
    <w:rsid w:val="005C236C"/>
    <w:rsid w:val="005E6EC9"/>
    <w:rsid w:val="00665896"/>
    <w:rsid w:val="0071336C"/>
    <w:rsid w:val="0071475B"/>
    <w:rsid w:val="00793214"/>
    <w:rsid w:val="00793D1A"/>
    <w:rsid w:val="007D43DA"/>
    <w:rsid w:val="007E50DB"/>
    <w:rsid w:val="007E661D"/>
    <w:rsid w:val="007F5EE6"/>
    <w:rsid w:val="0081530B"/>
    <w:rsid w:val="00867186"/>
    <w:rsid w:val="008C31C3"/>
    <w:rsid w:val="008E0E58"/>
    <w:rsid w:val="00941865"/>
    <w:rsid w:val="00956836"/>
    <w:rsid w:val="00986803"/>
    <w:rsid w:val="0099577A"/>
    <w:rsid w:val="009B7ED4"/>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0FC020E"/>
    <w:rsid w:val="00FD1044"/>
    <w:rsid w:val="01D26574"/>
    <w:rsid w:val="0AA5148F"/>
    <w:rsid w:val="29B3627F"/>
    <w:rsid w:val="3B685232"/>
    <w:rsid w:val="3DC10BC6"/>
    <w:rsid w:val="45EB606D"/>
    <w:rsid w:val="6731074C"/>
    <w:rsid w:val="71500A8F"/>
    <w:rsid w:val="73926785"/>
    <w:rsid w:val="779C327F"/>
    <w:rsid w:val="794E1E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3345</Words>
  <Characters>3391</Characters>
  <Lines>0</Lines>
  <Paragraphs>0</Paragraphs>
  <TotalTime>43</TotalTime>
  <ScaleCrop>false</ScaleCrop>
  <LinksUpToDate>false</LinksUpToDate>
  <CharactersWithSpaces>3401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沐小涵</cp:lastModifiedBy>
  <cp:lastPrinted>2022-03-18T06:20:32Z</cp:lastPrinted>
  <dcterms:modified xsi:type="dcterms:W3CDTF">2022-03-18T06:42:14Z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E46C9ACA6FAD48F88CD707BF90A05CFD</vt:lpwstr>
  </property>
</Properties>
</file>