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ascii="黑体" w:hAnsi="宋体" w:eastAsia="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rPr>
        <w:t>部门年度项目</w:t>
      </w:r>
      <w:r>
        <w:rPr>
          <w:rFonts w:hint="eastAsia" w:ascii="方正小标宋简体" w:hAnsi="方正小标宋简体" w:eastAsia="方正小标宋简体" w:cs="方正小标宋简体"/>
          <w:sz w:val="44"/>
          <w:szCs w:val="44"/>
        </w:rPr>
        <w:t>绩效自评工作报告</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简体" w:hAnsi="方正小标宋简体" w:eastAsia="方正小标宋简体" w:cs="方正小标宋简体"/>
          <w:b/>
          <w:bCs/>
          <w:sz w:val="44"/>
          <w:szCs w:val="44"/>
        </w:rPr>
      </w:pPr>
      <w:r>
        <w:rPr>
          <w:rFonts w:hint="eastAsia" w:ascii="仿宋_GB2312" w:hAnsi="仿宋_GB2312" w:eastAsia="仿宋_GB2312" w:cs="仿宋_GB2312"/>
          <w:b w:val="0"/>
          <w:bCs w:val="0"/>
          <w:sz w:val="32"/>
          <w:szCs w:val="32"/>
        </w:rPr>
        <w:t>（参考提纲）</w:t>
      </w:r>
    </w:p>
    <w:p>
      <w:pPr>
        <w:keepNext w:val="0"/>
        <w:keepLines w:val="0"/>
        <w:pageBreakBefore w:val="0"/>
        <w:widowControl w:val="0"/>
        <w:kinsoku/>
        <w:wordWrap/>
        <w:overflowPunct/>
        <w:topLinePunct w:val="0"/>
        <w:autoSpaceDE/>
        <w:autoSpaceDN/>
        <w:bidi w:val="0"/>
        <w:adjustRightInd/>
        <w:snapToGrid w:val="0"/>
        <w:spacing w:line="540" w:lineRule="exact"/>
        <w:ind w:firstLine="643" w:firstLineChars="200"/>
        <w:textAlignment w:val="auto"/>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一、绩效自评工作组织开展情况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主要包括部门绩效自评工作的组织情况、实施过程，部门预算安排及资金分配拨付，部门日常财务管理、专项监督检查及审计部门审查意见等情况。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二、绩效目标实现情况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主要包括部门总体工作开展情况，专项资金和具体预算支出项目的预期绩效目标完成情况、存在问题及评价结论，对未完成绩效目标或偏离绩效目标较大的要单独列明，并分析说明原因。</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三、绩效目标设定质量情况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主要包括通过绩效自评结果对比倒查的年初绩效目标设定质量情况，全面总结绩效目标设定是否清晰准确，绩效指标是否全面完整、科学合理，绩效标准是否恰当适宜、易于评价，深入分析原因，逐项查找差距。</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四、整改措施及结果应用</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主要包括针对存在的问题，研究制定的整改思路和工作措施，在</w:t>
      </w:r>
      <w:r>
        <w:rPr>
          <w:rFonts w:hint="eastAsia" w:ascii="仿宋_GB2312" w:eastAsia="仿宋_GB2312" w:cs="宋体"/>
          <w:kern w:val="0"/>
          <w:sz w:val="32"/>
          <w:szCs w:val="32"/>
          <w:lang w:val="zh-CN"/>
        </w:rPr>
        <w:t>健全制度、完善政策、改进管理、优化</w:t>
      </w:r>
      <w:r>
        <w:rPr>
          <w:rFonts w:hint="eastAsia" w:ascii="仿宋_GB2312" w:hAnsi="宋体" w:eastAsia="仿宋_GB2312"/>
          <w:sz w:val="32"/>
          <w:szCs w:val="32"/>
        </w:rPr>
        <w:t>流程等提高部门绩效方面的具体做法，在</w:t>
      </w:r>
      <w:r>
        <w:rPr>
          <w:rFonts w:hint="eastAsia" w:ascii="仿宋_GB2312" w:eastAsia="仿宋_GB2312" w:cs="宋体"/>
          <w:kern w:val="0"/>
          <w:sz w:val="32"/>
          <w:szCs w:val="32"/>
          <w:lang w:val="zh-CN"/>
        </w:rPr>
        <w:t>整合资金、调整项目及改善投向等优化部门支出结构方面的安排，在提高绩效目标设置质量方面的打算等</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项目（政策）事前绩效评估报告</w:t>
      </w:r>
    </w:p>
    <w:p>
      <w:pPr>
        <w:keepNext w:val="0"/>
        <w:keepLines w:val="0"/>
        <w:pageBreakBefore w:val="0"/>
        <w:widowControl w:val="0"/>
        <w:kinsoku/>
        <w:wordWrap/>
        <w:overflowPunct/>
        <w:topLinePunct w:val="0"/>
        <w:autoSpaceDE/>
        <w:autoSpaceDN/>
        <w:bidi w:val="0"/>
        <w:adjustRightInd/>
        <w:snapToGrid/>
        <w:spacing w:line="560" w:lineRule="exact"/>
        <w:ind w:left="263" w:leftChars="125"/>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（参考格式）</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ascii="黑体" w:hAnsi="黑体" w:eastAsia="黑体" w:cs="黑体"/>
          <w:sz w:val="32"/>
          <w:szCs w:val="32"/>
        </w:rPr>
      </w:pPr>
      <w:r>
        <w:rPr>
          <w:rFonts w:hint="eastAsia" w:ascii="黑体" w:hAnsi="黑体" w:eastAsia="黑体" w:cs="黑体"/>
          <w:sz w:val="32"/>
          <w:szCs w:val="32"/>
        </w:rPr>
        <w:t>一、事前绩效评估对象基本情况</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bookmarkStart w:id="0" w:name="_GoBack"/>
      <w:r>
        <w:rPr>
          <w:rFonts w:hint="eastAsia" w:ascii="仿宋_GB2312" w:hAnsi="仿宋_GB2312" w:eastAsia="仿宋_GB2312" w:cs="仿宋_GB2312"/>
          <w:sz w:val="32"/>
          <w:szCs w:val="32"/>
        </w:rPr>
        <w:t>项目（政策）立项背景</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（二）项目（政策）主要内容</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（三）项目（政策）绩效目标</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（四）项目（政策）资金构成</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ascii="黑体" w:hAnsi="黑体" w:eastAsia="黑体" w:cs="黑体"/>
          <w:sz w:val="32"/>
          <w:szCs w:val="32"/>
        </w:rPr>
      </w:pPr>
      <w:r>
        <w:rPr>
          <w:rFonts w:hint="eastAsia" w:ascii="黑体" w:hAnsi="黑体" w:eastAsia="黑体" w:cs="黑体"/>
          <w:sz w:val="32"/>
          <w:szCs w:val="32"/>
        </w:rPr>
        <w:t>二、事前绩效评估工作开</w:t>
      </w:r>
      <w:bookmarkEnd w:id="0"/>
      <w:r>
        <w:rPr>
          <w:rFonts w:hint="eastAsia" w:ascii="黑体" w:hAnsi="黑体" w:eastAsia="黑体" w:cs="黑体"/>
          <w:sz w:val="32"/>
          <w:szCs w:val="32"/>
        </w:rPr>
        <w:t>展情况</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（一）评估目的及对象。</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（二）评估思路及方式、方法。</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ascii="楷体_GB2312" w:hAnsi="楷体_GB2312" w:eastAsia="楷体_GB2312" w:cs="楷体_GB2312"/>
          <w:sz w:val="32"/>
          <w:szCs w:val="32"/>
        </w:rPr>
      </w:pPr>
      <w:r>
        <w:rPr>
          <w:rFonts w:hint="eastAsia" w:ascii="仿宋_GB2312" w:hAnsi="仿宋_GB2312" w:eastAsia="仿宋_GB2312" w:cs="仿宋_GB2312"/>
          <w:sz w:val="32"/>
          <w:szCs w:val="32"/>
        </w:rPr>
        <w:t>（三）评估工作程序。</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ascii="黑体" w:hAnsi="黑体" w:eastAsia="黑体" w:cs="黑体"/>
          <w:sz w:val="32"/>
          <w:szCs w:val="32"/>
        </w:rPr>
      </w:pPr>
      <w:r>
        <w:rPr>
          <w:rFonts w:hint="eastAsia" w:ascii="黑体" w:hAnsi="黑体" w:eastAsia="黑体" w:cs="黑体"/>
          <w:sz w:val="32"/>
          <w:szCs w:val="32"/>
        </w:rPr>
        <w:t>三、综合评估情况与评估结论</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（一）立项必要性/政策设立必要性。</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（二）投入经济性/政策保障充分性</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（三）绩效目标合理性/政策目标合理性。</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（四）实施方案可行性/政策实施可持续性</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（五）筹资合规性/政策资金合规性</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（六）总体结论。</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ascii="黑体" w:hAnsi="黑体" w:eastAsia="黑体" w:cs="黑体"/>
          <w:sz w:val="32"/>
          <w:szCs w:val="32"/>
        </w:rPr>
      </w:pPr>
      <w:r>
        <w:rPr>
          <w:rFonts w:hint="eastAsia" w:ascii="黑体" w:hAnsi="黑体" w:eastAsia="黑体" w:cs="黑体"/>
          <w:sz w:val="32"/>
          <w:szCs w:val="32"/>
        </w:rPr>
        <w:t>四、相关建议</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ascii="仿宋" w:hAnsi="仿宋" w:eastAsia="仿宋"/>
          <w:sz w:val="32"/>
          <w:szCs w:val="32"/>
        </w:rPr>
      </w:pPr>
      <w:r>
        <w:rPr>
          <w:rFonts w:hint="eastAsia" w:ascii="黑体" w:hAnsi="黑体" w:eastAsia="黑体" w:cs="黑体"/>
          <w:sz w:val="32"/>
          <w:szCs w:val="32"/>
        </w:rPr>
        <w:t>五、其他需要说明的问题</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阐述评估工作基本前提、假设、报告适用范围、相关责任以及需要说明的其他问题等。</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ascii="仿宋" w:hAnsi="仿宋" w:eastAsia="仿宋"/>
          <w:sz w:val="32"/>
          <w:szCs w:val="32"/>
        </w:rPr>
      </w:pPr>
      <w:r>
        <w:rPr>
          <w:rFonts w:hint="eastAsia" w:ascii="黑体" w:hAnsi="黑体" w:eastAsia="黑体" w:cs="黑体"/>
          <w:sz w:val="32"/>
          <w:szCs w:val="32"/>
        </w:rPr>
        <w:t>六、附件</w:t>
      </w: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项目或政策相关申报资料、专家评估意见、专家及评估组人员情况、其他需作为附件的评估佐证材料。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263" w:leftChars="125"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政策和项目事前绩效评估评分指标体系（附后）</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Calibri"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Calibri"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Calibri"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Calibri"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Calibri"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Calibri"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Calibri"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Calibri"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Calibri"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Calibri"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Calibri"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Calibri"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Calibri"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Calibri"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Calibri" w:eastAsia="仿宋_GB2312"/>
          <w:sz w:val="32"/>
          <w:szCs w:val="32"/>
        </w:rPr>
      </w:pP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rPr>
        <w:t>事前绩效评估评分指标体系（项目）</w:t>
      </w:r>
    </w:p>
    <w:p>
      <w:pPr>
        <w:spacing w:line="520" w:lineRule="exact"/>
        <w:rPr>
          <w:rFonts w:ascii="Calibri"/>
          <w:szCs w:val="2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081"/>
        <w:gridCol w:w="6271"/>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blHeader/>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color w:val="000000"/>
                <w:kern w:val="0"/>
                <w:sz w:val="20"/>
                <w:szCs w:val="20"/>
              </w:rPr>
            </w:pPr>
            <w:r>
              <w:rPr>
                <w:rFonts w:hint="eastAsia" w:ascii="宋体" w:hAnsi="宋体" w:cs="宋体"/>
                <w:b/>
                <w:bCs/>
                <w:color w:val="000000"/>
                <w:kern w:val="0"/>
                <w:sz w:val="20"/>
                <w:szCs w:val="20"/>
              </w:rPr>
              <w:t>一级指标</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color w:val="000000"/>
                <w:kern w:val="0"/>
                <w:sz w:val="20"/>
                <w:szCs w:val="20"/>
              </w:rPr>
            </w:pPr>
            <w:r>
              <w:rPr>
                <w:rFonts w:hint="eastAsia" w:ascii="宋体" w:hAnsi="宋体" w:cs="宋体"/>
                <w:b/>
                <w:bCs/>
                <w:color w:val="000000"/>
                <w:kern w:val="0"/>
                <w:sz w:val="20"/>
                <w:szCs w:val="20"/>
              </w:rPr>
              <w:t>二级</w:t>
            </w:r>
          </w:p>
          <w:p>
            <w:pPr>
              <w:widowControl/>
              <w:adjustRightInd w:val="0"/>
              <w:snapToGrid w:val="0"/>
              <w:jc w:val="center"/>
              <w:rPr>
                <w:rFonts w:ascii="宋体" w:hAnsi="宋体" w:cs="宋体"/>
                <w:b/>
                <w:bCs/>
                <w:color w:val="000000"/>
                <w:kern w:val="0"/>
                <w:sz w:val="20"/>
                <w:szCs w:val="20"/>
              </w:rPr>
            </w:pPr>
            <w:r>
              <w:rPr>
                <w:rFonts w:hint="eastAsia" w:ascii="宋体" w:hAnsi="宋体" w:cs="宋体"/>
                <w:b/>
                <w:bCs/>
                <w:color w:val="000000"/>
                <w:kern w:val="0"/>
                <w:sz w:val="20"/>
                <w:szCs w:val="20"/>
              </w:rPr>
              <w:t>指标</w:t>
            </w:r>
          </w:p>
        </w:tc>
        <w:tc>
          <w:tcPr>
            <w:tcW w:w="6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kern w:val="0"/>
                <w:sz w:val="20"/>
                <w:szCs w:val="20"/>
              </w:rPr>
            </w:pPr>
            <w:r>
              <w:rPr>
                <w:rFonts w:hint="eastAsia" w:ascii="宋体" w:hAnsi="宋体" w:cs="宋体"/>
                <w:b/>
                <w:bCs/>
                <w:kern w:val="0"/>
                <w:sz w:val="20"/>
                <w:szCs w:val="20"/>
              </w:rPr>
              <w:t>评价要点</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cs="宋体"/>
                <w:b/>
                <w:bCs/>
                <w:color w:val="000000"/>
                <w:kern w:val="0"/>
                <w:sz w:val="20"/>
                <w:szCs w:val="20"/>
              </w:rPr>
            </w:pPr>
            <w:r>
              <w:rPr>
                <w:rFonts w:hint="eastAsia" w:ascii="宋体" w:hAnsi="宋体" w:cs="宋体"/>
                <w:b/>
                <w:bCs/>
                <w:color w:val="000000"/>
                <w:kern w:val="0"/>
                <w:sz w:val="20"/>
                <w:szCs w:val="2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1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立项</w:t>
            </w:r>
          </w:p>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必要性</w:t>
            </w:r>
          </w:p>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（30）</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政策相关性</w:t>
            </w:r>
          </w:p>
        </w:tc>
        <w:tc>
          <w:tcPr>
            <w:tcW w:w="6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left"/>
              <w:rPr>
                <w:rFonts w:ascii="宋体" w:hAnsi="宋体" w:cs="宋体"/>
                <w:color w:val="000000"/>
                <w:kern w:val="0"/>
                <w:szCs w:val="21"/>
              </w:rPr>
            </w:pPr>
            <w:r>
              <w:rPr>
                <w:rFonts w:hint="eastAsia" w:ascii="宋体" w:hAnsi="宋体" w:cs="宋体"/>
                <w:color w:val="000000"/>
                <w:kern w:val="0"/>
                <w:szCs w:val="21"/>
              </w:rPr>
              <w:t>是否与国家及省、市相关行业宏观政策相关。</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1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kern w:val="0"/>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职能相关性</w:t>
            </w:r>
          </w:p>
        </w:tc>
        <w:tc>
          <w:tcPr>
            <w:tcW w:w="6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left"/>
              <w:rPr>
                <w:rFonts w:ascii="宋体" w:hAnsi="宋体" w:cs="宋体"/>
                <w:color w:val="000000"/>
                <w:kern w:val="0"/>
                <w:szCs w:val="21"/>
              </w:rPr>
            </w:pPr>
            <w:r>
              <w:rPr>
                <w:rFonts w:hint="eastAsia" w:ascii="宋体" w:hAnsi="宋体" w:cs="宋体"/>
                <w:color w:val="000000"/>
                <w:kern w:val="0"/>
                <w:szCs w:val="21"/>
              </w:rPr>
              <w:t>是否与主管部门职能、规划及当年重点工作相关。</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1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kern w:val="0"/>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需求相关性</w:t>
            </w:r>
          </w:p>
        </w:tc>
        <w:tc>
          <w:tcPr>
            <w:tcW w:w="6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left"/>
              <w:rPr>
                <w:rFonts w:ascii="宋体" w:hAnsi="宋体" w:cs="宋体"/>
                <w:color w:val="000000"/>
                <w:kern w:val="0"/>
                <w:szCs w:val="21"/>
              </w:rPr>
            </w:pPr>
            <w:r>
              <w:rPr>
                <w:rFonts w:hint="eastAsia" w:ascii="宋体" w:hAnsi="宋体" w:cs="宋体"/>
                <w:color w:val="000000"/>
                <w:kern w:val="0"/>
                <w:szCs w:val="21"/>
              </w:rPr>
              <w:t>①是否具有现实需求，需求是否迫切；②是否有确定的服务对象或受益对象。③是否与其他相关部门同类项目或部门内部相关项目重复；</w:t>
            </w:r>
            <w:r>
              <w:rPr>
                <w:rFonts w:hint="eastAsia" w:ascii="宋体" w:hAnsi="宋体" w:cs="宋体"/>
                <w:kern w:val="0"/>
                <w:szCs w:val="21"/>
              </w:rPr>
              <w:t>④</w:t>
            </w:r>
            <w:r>
              <w:rPr>
                <w:rFonts w:hint="eastAsia" w:ascii="宋体" w:hAnsi="宋体" w:cs="宋体"/>
                <w:color w:val="000000"/>
                <w:kern w:val="0"/>
                <w:szCs w:val="21"/>
              </w:rPr>
              <w:t>是否有可替代性</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1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kern w:val="0"/>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财政投入相关性</w:t>
            </w:r>
          </w:p>
        </w:tc>
        <w:tc>
          <w:tcPr>
            <w:tcW w:w="6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left"/>
              <w:rPr>
                <w:rFonts w:ascii="宋体" w:hAnsi="宋体" w:cs="宋体"/>
                <w:color w:val="000000"/>
                <w:kern w:val="0"/>
                <w:szCs w:val="21"/>
              </w:rPr>
            </w:pPr>
            <w:r>
              <w:rPr>
                <w:rFonts w:hint="eastAsia" w:ascii="宋体" w:hAnsi="宋体" w:cs="宋体"/>
                <w:color w:val="000000"/>
                <w:kern w:val="0"/>
                <w:szCs w:val="21"/>
              </w:rPr>
              <w:t>是否具有公共性，是否属于公共财政支持范围。</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1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投入</w:t>
            </w:r>
          </w:p>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经济性（20）</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投入合理性</w:t>
            </w:r>
          </w:p>
        </w:tc>
        <w:tc>
          <w:tcPr>
            <w:tcW w:w="6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left"/>
              <w:rPr>
                <w:rFonts w:ascii="宋体" w:hAnsi="宋体" w:cs="宋体"/>
                <w:kern w:val="0"/>
                <w:szCs w:val="21"/>
              </w:rPr>
            </w:pPr>
            <w:r>
              <w:rPr>
                <w:rFonts w:hint="eastAsia" w:ascii="宋体" w:hAnsi="宋体" w:cs="宋体"/>
                <w:kern w:val="0"/>
                <w:szCs w:val="21"/>
              </w:rPr>
              <w:t>①项目投入资源及成本是否与预期产出及效果相匹配；②投入成本是否合理，成本测算依据是否充分，是否按相关标准测算；③其他渠道是否有充分投入。</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1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kern w:val="0"/>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成本控制措施有效性</w:t>
            </w:r>
          </w:p>
        </w:tc>
        <w:tc>
          <w:tcPr>
            <w:tcW w:w="6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left"/>
              <w:rPr>
                <w:rFonts w:ascii="宋体" w:hAnsi="宋体" w:cs="宋体"/>
                <w:kern w:val="0"/>
                <w:szCs w:val="21"/>
              </w:rPr>
            </w:pPr>
            <w:r>
              <w:rPr>
                <w:rFonts w:hint="eastAsia" w:ascii="宋体" w:hAnsi="宋体" w:cs="宋体"/>
                <w:kern w:val="0"/>
                <w:szCs w:val="21"/>
              </w:rPr>
              <w:t>项目是否采取相关成本控制措施，成本控制措施是否有效。</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11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绩效目标合理性（15）</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目标明确性</w:t>
            </w:r>
          </w:p>
        </w:tc>
        <w:tc>
          <w:tcPr>
            <w:tcW w:w="6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left"/>
              <w:rPr>
                <w:rFonts w:ascii="宋体" w:hAnsi="宋体" w:cs="宋体"/>
                <w:kern w:val="0"/>
                <w:szCs w:val="21"/>
              </w:rPr>
            </w:pPr>
            <w:r>
              <w:rPr>
                <w:rFonts w:hint="eastAsia" w:ascii="宋体" w:hAnsi="宋体" w:cs="宋体"/>
                <w:kern w:val="0"/>
                <w:szCs w:val="21"/>
              </w:rPr>
              <w:t xml:space="preserve">①绩效目标设定是否明确；②与部门中长期规划目标、年度工作目标是否一致；③项目受益群体定位是否准确；④绩效目标和指标设置是否与项目高度相关。 </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11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kern w:val="0"/>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目标合理性</w:t>
            </w:r>
          </w:p>
        </w:tc>
        <w:tc>
          <w:tcPr>
            <w:tcW w:w="6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left"/>
              <w:rPr>
                <w:rFonts w:ascii="宋体" w:hAnsi="宋体" w:cs="宋体"/>
                <w:kern w:val="0"/>
                <w:szCs w:val="21"/>
              </w:rPr>
            </w:pPr>
            <w:r>
              <w:rPr>
                <w:rFonts w:hint="eastAsia" w:ascii="宋体" w:hAnsi="宋体" w:cs="宋体"/>
                <w:kern w:val="0"/>
                <w:szCs w:val="21"/>
              </w:rPr>
              <w:t>①绩效目标与项目预计解决的问题是否匹配；②绩效目标与现实需求是否匹配；③绩效目标是否具有一定的前瞻性和挑战性；④项目预期产出和效益是否符合正常的业绩水平；⑤绩效指标是否细化、量化，指标值是否合理、可考核。</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1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实施方案有效性</w:t>
            </w:r>
          </w:p>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（20）</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实施内容明确性</w:t>
            </w:r>
          </w:p>
        </w:tc>
        <w:tc>
          <w:tcPr>
            <w:tcW w:w="6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left"/>
              <w:rPr>
                <w:rFonts w:ascii="宋体" w:hAnsi="宋体" w:cs="宋体"/>
                <w:kern w:val="0"/>
                <w:szCs w:val="21"/>
              </w:rPr>
            </w:pPr>
            <w:r>
              <w:rPr>
                <w:rFonts w:hint="eastAsia" w:ascii="宋体" w:hAnsi="宋体" w:cs="宋体"/>
                <w:kern w:val="0"/>
                <w:szCs w:val="21"/>
              </w:rPr>
              <w:t>项目内容是否明确、具体，与绩效目标是否匹配。</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1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kern w:val="0"/>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实施方案可行性</w:t>
            </w:r>
          </w:p>
        </w:tc>
        <w:tc>
          <w:tcPr>
            <w:tcW w:w="6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left"/>
              <w:rPr>
                <w:rFonts w:ascii="宋体" w:hAnsi="宋体" w:cs="宋体"/>
                <w:kern w:val="0"/>
                <w:szCs w:val="21"/>
              </w:rPr>
            </w:pPr>
            <w:r>
              <w:rPr>
                <w:rFonts w:hint="eastAsia" w:ascii="宋体" w:hAnsi="宋体" w:cs="宋体"/>
                <w:kern w:val="0"/>
                <w:szCs w:val="21"/>
              </w:rPr>
              <w:t>①项目实施方案设计是否合理、可行，与项目内容及绩效目标是否匹配；②项目组织、进度安排是否合理；③与项目有关的人员、设施、物资等基础保障条件是否具备。</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jc w:val="center"/>
        </w:trPr>
        <w:tc>
          <w:tcPr>
            <w:tcW w:w="11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kern w:val="0"/>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过程控制有效性</w:t>
            </w:r>
          </w:p>
        </w:tc>
        <w:tc>
          <w:tcPr>
            <w:tcW w:w="6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left"/>
              <w:rPr>
                <w:rFonts w:ascii="宋体" w:hAnsi="宋体" w:cs="宋体"/>
                <w:kern w:val="0"/>
                <w:szCs w:val="21"/>
              </w:rPr>
            </w:pPr>
            <w:r>
              <w:rPr>
                <w:rFonts w:hint="eastAsia" w:ascii="宋体" w:hAnsi="宋体" w:cs="宋体"/>
                <w:kern w:val="0"/>
                <w:szCs w:val="21"/>
              </w:rPr>
              <w:t>①项目申报、审批、调整及项目资金申请、审批、拨付等方面已履行或计划履行的程序是否规范；②项目组织机构是否健全、职责分工是否明确、项目人员条件是否与项目有关并得以有效保障；③业务管理制度、技术规程、标准是否健全、完善，以前年度业务制度执行是否出现过问题，相关业务方面问题是否得到有效解决并配有相应的保障措施；④项目执行过程是否设立管控措施、机制等，相关措施、机制是否能够保证项目顺利实施；⑤是否有保证项目绩效可持续发挥的配套机制，项目设立、清理和退出是否有明确的时限和步骤。</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1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筹资</w:t>
            </w:r>
          </w:p>
          <w:p>
            <w:pPr>
              <w:widowControl/>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合规性（15）</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筹资合规性</w:t>
            </w:r>
          </w:p>
        </w:tc>
        <w:tc>
          <w:tcPr>
            <w:tcW w:w="6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left"/>
              <w:rPr>
                <w:rFonts w:ascii="宋体" w:hAnsi="宋体" w:cs="宋体"/>
                <w:color w:val="000000"/>
                <w:kern w:val="0"/>
                <w:szCs w:val="21"/>
              </w:rPr>
            </w:pPr>
            <w:r>
              <w:rPr>
                <w:rFonts w:hint="eastAsia" w:ascii="宋体" w:hAnsi="宋体" w:cs="宋体"/>
                <w:color w:val="000000"/>
                <w:kern w:val="0"/>
                <w:szCs w:val="21"/>
              </w:rPr>
              <w:t>①资金来源渠道是否符合相关规定；②资金筹措程序是否科学规范，是否经过相关论证，论证资料是否齐全；③资金筹措是否体现权责对等，财权和事权是否匹配。</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1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color w:val="000000"/>
                <w:kern w:val="0"/>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财政投入能力</w:t>
            </w:r>
          </w:p>
        </w:tc>
        <w:tc>
          <w:tcPr>
            <w:tcW w:w="6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left"/>
              <w:rPr>
                <w:rFonts w:ascii="宋体" w:hAnsi="宋体" w:cs="宋体"/>
                <w:kern w:val="0"/>
                <w:szCs w:val="21"/>
              </w:rPr>
            </w:pPr>
            <w:r>
              <w:rPr>
                <w:rFonts w:hint="eastAsia" w:ascii="宋体" w:hAnsi="宋体" w:cs="宋体"/>
                <w:color w:val="000000"/>
                <w:kern w:val="0"/>
                <w:szCs w:val="21"/>
              </w:rPr>
              <w:t>①各级财政资金配套方式和承受能力是否科学合理；②各级财政部门和其他部门是否有类似项目资金重复投入；③财政资金支持方式是否科学合理。</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1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s="宋体"/>
                <w:color w:val="000000"/>
                <w:kern w:val="0"/>
                <w:szCs w:val="21"/>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kern w:val="0"/>
                <w:szCs w:val="21"/>
              </w:rPr>
            </w:pPr>
            <w:r>
              <w:rPr>
                <w:rFonts w:hint="eastAsia" w:ascii="宋体" w:hAnsi="宋体" w:cs="宋体"/>
                <w:kern w:val="0"/>
                <w:szCs w:val="21"/>
              </w:rPr>
              <w:t>筹资风险可控性</w:t>
            </w:r>
          </w:p>
        </w:tc>
        <w:tc>
          <w:tcPr>
            <w:tcW w:w="62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left"/>
              <w:rPr>
                <w:rFonts w:ascii="宋体" w:hAnsi="宋体" w:cs="宋体"/>
                <w:kern w:val="0"/>
                <w:szCs w:val="21"/>
              </w:rPr>
            </w:pPr>
            <w:r>
              <w:rPr>
                <w:rFonts w:hint="eastAsia" w:ascii="宋体" w:hAnsi="宋体" w:cs="宋体"/>
                <w:kern w:val="0"/>
                <w:szCs w:val="21"/>
              </w:rPr>
              <w:t>①对筹资风险认识是否全面；②是否针对预期风险设定应对措施；③应对措施是否可行、有效。</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5</w:t>
            </w:r>
          </w:p>
        </w:tc>
      </w:tr>
    </w:tbl>
    <w:p>
      <w:pPr>
        <w:spacing w:line="520" w:lineRule="exact"/>
        <w:rPr>
          <w:rFonts w:ascii="仿宋_GB2312" w:eastAsia="仿宋_GB2312"/>
          <w:b/>
          <w:sz w:val="30"/>
          <w:szCs w:val="30"/>
        </w:rPr>
      </w:pPr>
      <w:r>
        <w:rPr>
          <w:rFonts w:hint="eastAsia" w:ascii="仿宋_GB2312" w:eastAsia="仿宋_GB2312"/>
          <w:b/>
          <w:sz w:val="30"/>
          <w:szCs w:val="30"/>
        </w:rPr>
        <w:t>说明：</w:t>
      </w:r>
      <w:r>
        <w:rPr>
          <w:rFonts w:hint="eastAsia" w:ascii="仿宋_GB2312" w:eastAsia="仿宋_GB2312"/>
          <w:b/>
          <w:sz w:val="30"/>
          <w:szCs w:val="30"/>
        </w:rPr>
        <w:tab/>
      </w:r>
      <w:r>
        <w:rPr>
          <w:rFonts w:hint="eastAsia" w:ascii="仿宋_GB2312" w:eastAsia="仿宋_GB2312"/>
          <w:b/>
          <w:sz w:val="30"/>
          <w:szCs w:val="30"/>
        </w:rPr>
        <w:tab/>
      </w:r>
      <w:r>
        <w:rPr>
          <w:rFonts w:hint="eastAsia" w:ascii="仿宋_GB2312" w:eastAsia="仿宋_GB2312"/>
          <w:b/>
          <w:sz w:val="30"/>
          <w:szCs w:val="30"/>
        </w:rPr>
        <w:tab/>
      </w:r>
    </w:p>
    <w:p>
      <w:pPr>
        <w:spacing w:line="500" w:lineRule="exact"/>
        <w:rPr>
          <w:rFonts w:ascii="仿宋_GB2312" w:eastAsia="仿宋_GB2312"/>
          <w:sz w:val="28"/>
          <w:szCs w:val="28"/>
        </w:rPr>
      </w:pPr>
      <w:r>
        <w:rPr>
          <w:rFonts w:hint="eastAsia" w:ascii="仿宋_GB2312" w:eastAsia="仿宋_GB2312"/>
          <w:b/>
          <w:sz w:val="28"/>
          <w:szCs w:val="28"/>
        </w:rPr>
        <w:t>1.</w:t>
      </w:r>
      <w:r>
        <w:rPr>
          <w:rFonts w:hint="eastAsia" w:ascii="仿宋_GB2312" w:eastAsia="仿宋_GB2312"/>
          <w:sz w:val="28"/>
          <w:szCs w:val="28"/>
        </w:rPr>
        <w:t>项目整体评估得分低于70分(不含)为差，评估结论为“建议不予支持”。</w:t>
      </w:r>
    </w:p>
    <w:p>
      <w:pPr>
        <w:spacing w:line="500" w:lineRule="exact"/>
        <w:rPr>
          <w:rFonts w:ascii="仿宋_GB2312" w:eastAsia="仿宋_GB2312"/>
          <w:sz w:val="28"/>
          <w:szCs w:val="28"/>
        </w:rPr>
      </w:pPr>
      <w:r>
        <w:rPr>
          <w:rFonts w:hint="eastAsia" w:ascii="仿宋_GB2312" w:eastAsia="仿宋_GB2312"/>
          <w:b/>
          <w:sz w:val="28"/>
          <w:szCs w:val="28"/>
        </w:rPr>
        <w:t>2.</w:t>
      </w:r>
      <w:r>
        <w:rPr>
          <w:rFonts w:hint="eastAsia" w:ascii="仿宋_GB2312" w:eastAsia="仿宋_GB2312"/>
          <w:sz w:val="28"/>
          <w:szCs w:val="28"/>
        </w:rPr>
        <w:t>项目整体评估得分70分(含)-80分(不含)为中，评估结论为“建议调整完善后予以支持”，需明确调整完善的方向和内容。</w:t>
      </w:r>
      <w:r>
        <w:rPr>
          <w:rFonts w:hint="eastAsia" w:ascii="仿宋_GB2312" w:eastAsia="仿宋_GB2312"/>
          <w:sz w:val="28"/>
          <w:szCs w:val="28"/>
        </w:rPr>
        <w:tab/>
      </w:r>
      <w:r>
        <w:rPr>
          <w:rFonts w:hint="eastAsia" w:ascii="仿宋_GB2312" w:eastAsia="仿宋_GB2312"/>
          <w:sz w:val="28"/>
          <w:szCs w:val="28"/>
        </w:rPr>
        <w:tab/>
      </w:r>
    </w:p>
    <w:p>
      <w:pPr>
        <w:spacing w:line="500" w:lineRule="exact"/>
        <w:rPr>
          <w:rFonts w:hint="eastAsia" w:ascii="仿宋_GB2312" w:eastAsia="仿宋_GB2312"/>
          <w:sz w:val="28"/>
          <w:szCs w:val="28"/>
        </w:rPr>
      </w:pPr>
      <w:r>
        <w:rPr>
          <w:rFonts w:hint="eastAsia" w:ascii="仿宋_GB2312" w:eastAsia="仿宋_GB2312"/>
          <w:b/>
          <w:sz w:val="28"/>
          <w:szCs w:val="28"/>
        </w:rPr>
        <w:t>3.</w:t>
      </w:r>
      <w:r>
        <w:rPr>
          <w:rFonts w:hint="eastAsia" w:ascii="仿宋_GB2312" w:eastAsia="仿宋_GB2312"/>
          <w:sz w:val="28"/>
          <w:szCs w:val="28"/>
        </w:rPr>
        <w:t>项目整体评估得分80分(含)-90分(不含)为良、90分(含)-100分为优，评估结论为“建议予以支持”。</w:t>
      </w:r>
    </w:p>
    <w:p>
      <w:pPr>
        <w:spacing w:line="520" w:lineRule="exact"/>
        <w:rPr>
          <w:rFonts w:ascii="仿宋_GB2312" w:eastAsia="仿宋_GB2312"/>
          <w:sz w:val="32"/>
          <w:szCs w:val="32"/>
        </w:rPr>
      </w:pPr>
    </w:p>
    <w:p>
      <w:pPr>
        <w:widowControl/>
        <w:jc w:val="both"/>
        <w:rPr>
          <w:rFonts w:hint="eastAsia" w:ascii="方正小标宋简体" w:hAnsi="黑体" w:eastAsia="方正小标宋简体" w:cs="黑体"/>
          <w:sz w:val="44"/>
          <w:szCs w:val="44"/>
        </w:rPr>
      </w:pPr>
    </w:p>
    <w:p>
      <w:pPr>
        <w:widowControl/>
        <w:jc w:val="center"/>
        <w:rPr>
          <w:rFonts w:ascii="方正小标宋简体" w:hAnsi="方正小标宋简体" w:eastAsia="方正小标宋简体" w:cs="方正小标宋简体"/>
          <w:sz w:val="44"/>
          <w:szCs w:val="44"/>
        </w:rPr>
      </w:pPr>
      <w:r>
        <w:rPr>
          <w:rFonts w:hint="eastAsia" w:ascii="方正小标宋简体" w:hAnsi="黑体" w:eastAsia="方正小标宋简体" w:cs="黑体"/>
          <w:sz w:val="44"/>
          <w:szCs w:val="44"/>
        </w:rPr>
        <w:t>事前绩效评估评分指标体系（政策）</w:t>
      </w:r>
    </w:p>
    <w:tbl>
      <w:tblPr>
        <w:tblStyle w:val="4"/>
        <w:tblW w:w="0" w:type="auto"/>
        <w:jc w:val="center"/>
        <w:tblLayout w:type="fixed"/>
        <w:tblCellMar>
          <w:top w:w="0" w:type="dxa"/>
          <w:left w:w="108" w:type="dxa"/>
          <w:bottom w:w="0" w:type="dxa"/>
          <w:right w:w="108" w:type="dxa"/>
        </w:tblCellMar>
      </w:tblPr>
      <w:tblGrid>
        <w:gridCol w:w="1101"/>
        <w:gridCol w:w="1133"/>
        <w:gridCol w:w="4514"/>
        <w:gridCol w:w="645"/>
        <w:gridCol w:w="1667"/>
      </w:tblGrid>
      <w:tr>
        <w:tblPrEx>
          <w:tblCellMar>
            <w:top w:w="0" w:type="dxa"/>
            <w:left w:w="108" w:type="dxa"/>
            <w:bottom w:w="0" w:type="dxa"/>
            <w:right w:w="108" w:type="dxa"/>
          </w:tblCellMar>
        </w:tblPrEx>
        <w:trPr>
          <w:trHeight w:val="615" w:hRule="atLeast"/>
          <w:tblHeader/>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一级指标</w:t>
            </w: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二级指标</w:t>
            </w:r>
          </w:p>
        </w:tc>
        <w:tc>
          <w:tcPr>
            <w:tcW w:w="451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评估要点</w:t>
            </w:r>
          </w:p>
        </w:tc>
        <w:tc>
          <w:tcPr>
            <w:tcW w:w="64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分值</w:t>
            </w:r>
          </w:p>
        </w:tc>
        <w:tc>
          <w:tcPr>
            <w:tcW w:w="166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cantSplit/>
          <w:trHeight w:val="2363" w:hRule="atLeast"/>
          <w:jc w:val="center"/>
        </w:trPr>
        <w:tc>
          <w:tcPr>
            <w:tcW w:w="110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政策设立必要性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(30分）</w:t>
            </w:r>
          </w:p>
        </w:tc>
        <w:tc>
          <w:tcPr>
            <w:tcW w:w="1133"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依据充分性</w:t>
            </w:r>
          </w:p>
        </w:tc>
        <w:tc>
          <w:tcPr>
            <w:tcW w:w="4514" w:type="dxa"/>
            <w:tcBorders>
              <w:top w:val="nil"/>
              <w:left w:val="nil"/>
              <w:bottom w:val="single" w:color="auto" w:sz="4" w:space="0"/>
              <w:right w:val="single" w:color="auto" w:sz="4" w:space="0"/>
            </w:tcBorders>
            <w:noWrap w:val="0"/>
            <w:vAlign w:val="center"/>
          </w:tcPr>
          <w:p>
            <w:pPr>
              <w:widowControl/>
              <w:spacing w:line="280" w:lineRule="exact"/>
              <w:ind w:left="-62"/>
              <w:rPr>
                <w:rFonts w:ascii="宋体" w:hAnsi="宋体" w:cs="宋体"/>
                <w:kern w:val="0"/>
                <w:szCs w:val="21"/>
              </w:rPr>
            </w:pPr>
            <w:r>
              <w:rPr>
                <w:rFonts w:hint="eastAsia" w:ascii="宋体" w:hAnsi="宋体" w:cs="宋体"/>
                <w:kern w:val="0"/>
                <w:szCs w:val="21"/>
              </w:rPr>
              <w:t>①政策设立是否具有现实需求、需求是否迫切，与政策所要解决的问题是否相对应；②与国家法律法规、国民经济和社会发展总体规划、国家行业规划及省、市经济和社会发展规划、行业发展规划等是否相符；③与政策主体（制定/执行）部门职能是否相符；④是否与其他政策存在交叉、重复。</w:t>
            </w: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20</w:t>
            </w:r>
          </w:p>
        </w:tc>
        <w:tc>
          <w:tcPr>
            <w:tcW w:w="1667" w:type="dxa"/>
            <w:tcBorders>
              <w:top w:val="nil"/>
              <w:left w:val="nil"/>
              <w:bottom w:val="single" w:color="auto" w:sz="4" w:space="0"/>
              <w:right w:val="single" w:color="auto" w:sz="4" w:space="0"/>
            </w:tcBorders>
            <w:noWrap w:val="0"/>
            <w:vAlign w:val="center"/>
          </w:tcPr>
          <w:p>
            <w:pPr>
              <w:widowControl/>
              <w:spacing w:line="240" w:lineRule="exact"/>
              <w:ind w:left="-62"/>
              <w:rPr>
                <w:rFonts w:ascii="宋体" w:hAnsi="宋体" w:cs="宋体"/>
                <w:color w:val="000000"/>
                <w:kern w:val="0"/>
                <w:szCs w:val="21"/>
              </w:rPr>
            </w:pPr>
            <w:r>
              <w:rPr>
                <w:rFonts w:hint="eastAsia" w:ascii="宋体" w:hAnsi="宋体" w:cs="宋体"/>
                <w:color w:val="000000"/>
                <w:kern w:val="0"/>
                <w:szCs w:val="21"/>
              </w:rPr>
              <w:t>为否定性指标，二级指标得分率80%（含）以下，即16分（含）以下，则结论为不予支持。</w:t>
            </w:r>
          </w:p>
        </w:tc>
      </w:tr>
      <w:tr>
        <w:tblPrEx>
          <w:tblCellMar>
            <w:top w:w="0" w:type="dxa"/>
            <w:left w:w="108" w:type="dxa"/>
            <w:bottom w:w="0" w:type="dxa"/>
            <w:right w:w="108" w:type="dxa"/>
          </w:tblCellMar>
        </w:tblPrEx>
        <w:trPr>
          <w:cantSplit/>
          <w:trHeight w:val="2114" w:hRule="atLeast"/>
          <w:jc w:val="center"/>
        </w:trPr>
        <w:tc>
          <w:tcPr>
            <w:tcW w:w="11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p>
        </w:tc>
        <w:tc>
          <w:tcPr>
            <w:tcW w:w="1133"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决策科学性</w:t>
            </w:r>
          </w:p>
        </w:tc>
        <w:tc>
          <w:tcPr>
            <w:tcW w:w="4514" w:type="dxa"/>
            <w:tcBorders>
              <w:top w:val="nil"/>
              <w:left w:val="nil"/>
              <w:bottom w:val="single" w:color="auto" w:sz="4" w:space="0"/>
              <w:right w:val="single" w:color="auto" w:sz="4" w:space="0"/>
            </w:tcBorders>
            <w:noWrap w:val="0"/>
            <w:vAlign w:val="center"/>
          </w:tcPr>
          <w:p>
            <w:pPr>
              <w:widowControl/>
              <w:spacing w:line="280" w:lineRule="exact"/>
              <w:ind w:left="-65"/>
              <w:rPr>
                <w:rFonts w:ascii="宋体" w:hAnsi="宋体" w:cs="宋体"/>
                <w:kern w:val="0"/>
                <w:szCs w:val="21"/>
              </w:rPr>
            </w:pPr>
            <w:r>
              <w:rPr>
                <w:rFonts w:hint="eastAsia" w:ascii="宋体" w:hAnsi="宋体" w:cs="宋体"/>
                <w:kern w:val="0"/>
                <w:szCs w:val="21"/>
              </w:rPr>
              <w:t>①政策是否经过了充分调研；②政策文件的拟定是否经过了评审、专家咨询、询问、问讯或公众听证等环节；③调研报告、可研、评审、批示等相关资料是否齐全；④政策制定主体或牵头主体是否明确，职责是否清晰，责任是否可追溯；⑤是否属于因绩效不高等已经退出的政策重新安排。</w:t>
            </w: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10</w:t>
            </w:r>
          </w:p>
        </w:tc>
        <w:tc>
          <w:tcPr>
            <w:tcW w:w="1667"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color w:val="000000"/>
                <w:kern w:val="0"/>
                <w:szCs w:val="21"/>
              </w:rPr>
            </w:pPr>
            <w:r>
              <w:rPr>
                <w:rFonts w:hint="eastAsia" w:ascii="宋体" w:hAnsi="宋体" w:cs="宋体"/>
                <w:color w:val="000000"/>
                <w:kern w:val="0"/>
                <w:szCs w:val="21"/>
              </w:rPr>
              <w:t>为否定性指标，二级指标得分率80%（含）以下，即8分（含）以下，则结论为不予支持。</w:t>
            </w:r>
          </w:p>
        </w:tc>
      </w:tr>
      <w:tr>
        <w:tblPrEx>
          <w:tblCellMar>
            <w:top w:w="0" w:type="dxa"/>
            <w:left w:w="108" w:type="dxa"/>
            <w:bottom w:w="0" w:type="dxa"/>
            <w:right w:w="108" w:type="dxa"/>
          </w:tblCellMar>
        </w:tblPrEx>
        <w:trPr>
          <w:cantSplit/>
          <w:trHeight w:val="2738" w:hRule="atLeast"/>
          <w:jc w:val="center"/>
        </w:trPr>
        <w:tc>
          <w:tcPr>
            <w:tcW w:w="110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FFFFFF"/>
                <w:kern w:val="0"/>
                <w:szCs w:val="21"/>
              </w:rPr>
            </w:pPr>
          </w:p>
          <w:p>
            <w:pPr>
              <w:widowControl/>
              <w:spacing w:line="240" w:lineRule="exact"/>
              <w:jc w:val="center"/>
              <w:rPr>
                <w:rFonts w:ascii="宋体" w:hAnsi="宋体" w:cs="宋体"/>
                <w:color w:val="FFFFFF"/>
                <w:kern w:val="0"/>
                <w:szCs w:val="21"/>
              </w:rPr>
            </w:pPr>
          </w:p>
          <w:p>
            <w:pPr>
              <w:widowControl/>
              <w:spacing w:line="240" w:lineRule="exact"/>
              <w:jc w:val="center"/>
              <w:rPr>
                <w:rFonts w:ascii="宋体" w:hAnsi="宋体" w:cs="宋体"/>
                <w:color w:val="FFFFFF"/>
                <w:kern w:val="0"/>
                <w:szCs w:val="21"/>
              </w:rPr>
            </w:pPr>
          </w:p>
          <w:p>
            <w:pPr>
              <w:widowControl/>
              <w:spacing w:line="240" w:lineRule="exact"/>
              <w:jc w:val="center"/>
              <w:rPr>
                <w:rFonts w:ascii="宋体" w:hAnsi="宋体" w:cs="宋体"/>
                <w:color w:val="FFFFFF"/>
                <w:kern w:val="0"/>
                <w:szCs w:val="21"/>
              </w:rPr>
            </w:pPr>
          </w:p>
          <w:p>
            <w:pPr>
              <w:widowControl/>
              <w:spacing w:line="240" w:lineRule="exact"/>
              <w:jc w:val="center"/>
              <w:rPr>
                <w:rFonts w:ascii="宋体" w:hAnsi="宋体" w:cs="宋体"/>
                <w:color w:val="FFFFFF"/>
                <w:kern w:val="0"/>
                <w:szCs w:val="21"/>
              </w:rPr>
            </w:pPr>
          </w:p>
          <w:p>
            <w:pPr>
              <w:widowControl/>
              <w:spacing w:line="240" w:lineRule="exact"/>
              <w:jc w:val="center"/>
              <w:rPr>
                <w:rFonts w:ascii="宋体" w:hAnsi="宋体" w:cs="宋体"/>
                <w:color w:val="FFFFFF"/>
                <w:kern w:val="0"/>
                <w:szCs w:val="21"/>
              </w:rPr>
            </w:pPr>
          </w:p>
          <w:p>
            <w:pPr>
              <w:widowControl/>
              <w:spacing w:line="240" w:lineRule="exact"/>
              <w:jc w:val="center"/>
              <w:rPr>
                <w:rFonts w:ascii="宋体" w:hAnsi="宋体" w:cs="宋体"/>
                <w:color w:val="FFFFFF"/>
                <w:kern w:val="0"/>
                <w:szCs w:val="21"/>
              </w:rPr>
            </w:pP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政策目标合理性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（30分）</w:t>
            </w:r>
          </w:p>
          <w:p>
            <w:pPr>
              <w:widowControl/>
              <w:spacing w:line="240" w:lineRule="exact"/>
              <w:jc w:val="center"/>
              <w:rPr>
                <w:rFonts w:ascii="宋体" w:hAnsi="宋体" w:cs="宋体"/>
                <w:color w:val="000000"/>
                <w:kern w:val="0"/>
                <w:szCs w:val="21"/>
              </w:rPr>
            </w:pPr>
          </w:p>
          <w:p>
            <w:pPr>
              <w:widowControl/>
              <w:spacing w:line="240" w:lineRule="exact"/>
              <w:jc w:val="center"/>
              <w:rPr>
                <w:rFonts w:ascii="宋体" w:hAnsi="宋体" w:cs="宋体"/>
                <w:color w:val="000000"/>
                <w:kern w:val="0"/>
                <w:szCs w:val="21"/>
              </w:rPr>
            </w:pPr>
          </w:p>
          <w:p>
            <w:pPr>
              <w:widowControl/>
              <w:spacing w:line="240" w:lineRule="exact"/>
              <w:jc w:val="center"/>
              <w:rPr>
                <w:rFonts w:ascii="宋体" w:hAnsi="宋体" w:cs="宋体"/>
                <w:color w:val="000000"/>
                <w:kern w:val="0"/>
                <w:szCs w:val="21"/>
              </w:rPr>
            </w:pPr>
          </w:p>
          <w:p>
            <w:pPr>
              <w:widowControl/>
              <w:spacing w:line="240" w:lineRule="exact"/>
              <w:jc w:val="center"/>
              <w:rPr>
                <w:rFonts w:ascii="宋体" w:hAnsi="宋体" w:cs="宋体"/>
                <w:color w:val="000000"/>
                <w:kern w:val="0"/>
                <w:szCs w:val="21"/>
              </w:rPr>
            </w:pPr>
          </w:p>
          <w:p>
            <w:pPr>
              <w:widowControl/>
              <w:spacing w:line="240" w:lineRule="exact"/>
              <w:jc w:val="center"/>
              <w:rPr>
                <w:rFonts w:ascii="宋体" w:hAnsi="宋体" w:cs="宋体"/>
                <w:color w:val="000000"/>
                <w:kern w:val="0"/>
                <w:szCs w:val="21"/>
              </w:rPr>
            </w:pPr>
          </w:p>
          <w:p>
            <w:pPr>
              <w:widowControl/>
              <w:spacing w:line="240" w:lineRule="exact"/>
              <w:jc w:val="center"/>
              <w:rPr>
                <w:rFonts w:ascii="宋体" w:hAnsi="宋体" w:cs="宋体"/>
                <w:color w:val="000000"/>
                <w:kern w:val="0"/>
                <w:szCs w:val="21"/>
              </w:rPr>
            </w:pPr>
          </w:p>
          <w:p>
            <w:pPr>
              <w:widowControl/>
              <w:spacing w:line="240" w:lineRule="exact"/>
              <w:jc w:val="center"/>
              <w:rPr>
                <w:rFonts w:ascii="宋体" w:hAnsi="宋体" w:cs="宋体"/>
                <w:color w:val="000000"/>
                <w:kern w:val="0"/>
                <w:szCs w:val="21"/>
              </w:rPr>
            </w:pPr>
          </w:p>
          <w:p>
            <w:pPr>
              <w:widowControl/>
              <w:spacing w:line="240" w:lineRule="exact"/>
              <w:jc w:val="center"/>
              <w:rPr>
                <w:rFonts w:ascii="宋体" w:hAnsi="宋体" w:cs="宋体"/>
                <w:color w:val="000000"/>
                <w:kern w:val="0"/>
                <w:szCs w:val="21"/>
              </w:rPr>
            </w:pPr>
          </w:p>
          <w:p>
            <w:pPr>
              <w:widowControl/>
              <w:spacing w:line="240" w:lineRule="exact"/>
              <w:jc w:val="center"/>
              <w:rPr>
                <w:rFonts w:ascii="宋体" w:hAnsi="宋体" w:cs="宋体"/>
                <w:color w:val="000000"/>
                <w:kern w:val="0"/>
                <w:szCs w:val="21"/>
              </w:rPr>
            </w:pPr>
          </w:p>
          <w:p>
            <w:pPr>
              <w:widowControl/>
              <w:spacing w:line="240" w:lineRule="exact"/>
              <w:jc w:val="center"/>
              <w:rPr>
                <w:rFonts w:ascii="宋体" w:hAnsi="宋体" w:cs="宋体"/>
                <w:color w:val="000000"/>
                <w:kern w:val="0"/>
                <w:szCs w:val="21"/>
              </w:rPr>
            </w:pPr>
          </w:p>
          <w:p>
            <w:pPr>
              <w:widowControl/>
              <w:spacing w:line="240" w:lineRule="exact"/>
              <w:jc w:val="center"/>
              <w:rPr>
                <w:rFonts w:ascii="宋体" w:hAnsi="宋体" w:cs="宋体"/>
                <w:color w:val="000000"/>
                <w:kern w:val="0"/>
                <w:szCs w:val="21"/>
              </w:rPr>
            </w:pPr>
          </w:p>
          <w:p>
            <w:pPr>
              <w:widowControl/>
              <w:spacing w:line="240" w:lineRule="exact"/>
              <w:jc w:val="center"/>
              <w:rPr>
                <w:rFonts w:ascii="宋体" w:hAnsi="宋体" w:cs="宋体"/>
                <w:color w:val="000000"/>
                <w:kern w:val="0"/>
                <w:szCs w:val="21"/>
              </w:rPr>
            </w:pPr>
          </w:p>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政策目标合理性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（30分）</w:t>
            </w:r>
          </w:p>
          <w:p>
            <w:pPr>
              <w:widowControl/>
              <w:spacing w:line="240" w:lineRule="exact"/>
              <w:jc w:val="center"/>
              <w:rPr>
                <w:rFonts w:ascii="宋体" w:hAnsi="宋体" w:cs="宋体"/>
                <w:color w:val="000000"/>
                <w:kern w:val="0"/>
                <w:szCs w:val="21"/>
              </w:rPr>
            </w:pPr>
          </w:p>
          <w:p>
            <w:pPr>
              <w:widowControl/>
              <w:spacing w:line="240" w:lineRule="exact"/>
              <w:jc w:val="center"/>
              <w:rPr>
                <w:rFonts w:ascii="宋体" w:hAnsi="宋体" w:cs="宋体"/>
                <w:color w:val="000000"/>
                <w:kern w:val="0"/>
                <w:szCs w:val="21"/>
              </w:rPr>
            </w:pPr>
          </w:p>
          <w:p>
            <w:pPr>
              <w:widowControl/>
              <w:spacing w:line="240" w:lineRule="exact"/>
              <w:jc w:val="center"/>
              <w:rPr>
                <w:rFonts w:ascii="宋体" w:hAnsi="宋体" w:cs="宋体"/>
                <w:color w:val="000000"/>
                <w:kern w:val="0"/>
                <w:szCs w:val="21"/>
              </w:rPr>
            </w:pPr>
          </w:p>
        </w:tc>
        <w:tc>
          <w:tcPr>
            <w:tcW w:w="1133" w:type="dxa"/>
            <w:vMerge w:val="restart"/>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目标明确性</w:t>
            </w:r>
          </w:p>
        </w:tc>
        <w:tc>
          <w:tcPr>
            <w:tcW w:w="4514" w:type="dxa"/>
            <w:tcBorders>
              <w:top w:val="nil"/>
              <w:left w:val="nil"/>
              <w:bottom w:val="single" w:color="auto" w:sz="4" w:space="0"/>
              <w:right w:val="single" w:color="auto" w:sz="4" w:space="0"/>
            </w:tcBorders>
            <w:noWrap w:val="0"/>
            <w:vAlign w:val="center"/>
          </w:tcPr>
          <w:p>
            <w:pPr>
              <w:widowControl/>
              <w:spacing w:line="280" w:lineRule="exact"/>
              <w:rPr>
                <w:rFonts w:ascii="宋体" w:hAnsi="宋体" w:cs="宋体"/>
                <w:kern w:val="0"/>
                <w:szCs w:val="21"/>
              </w:rPr>
            </w:pPr>
            <w:r>
              <w:rPr>
                <w:rFonts w:hint="eastAsia" w:ascii="宋体" w:hAnsi="宋体" w:cs="宋体"/>
                <w:kern w:val="0"/>
                <w:szCs w:val="21"/>
              </w:rPr>
              <w:t>①是否有明确的受益范围和受益对象，是否具有公共性、无差异性、非排他性；②绩效目标是否明确，是否设定总体性目标和阶段性目标，内容是否具体，表述是否准确；③绩效目标是否清晰，能否反映政策的主要内容，是否通过细化、量化、可衡量的绩效指标充分体现了预期产出和效果；④是否将绩效目标及指标细化分解到具体工作任务，各任务之间是否交叉重复、执行主体是否明确、与其职能是否相符。</w:t>
            </w:r>
          </w:p>
        </w:tc>
        <w:tc>
          <w:tcPr>
            <w:tcW w:w="64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667"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rPr>
                <w:rFonts w:ascii="宋体" w:hAnsi="宋体" w:cs="宋体"/>
                <w:color w:val="000000"/>
                <w:kern w:val="0"/>
                <w:szCs w:val="21"/>
              </w:rPr>
            </w:pPr>
            <w:r>
              <w:rPr>
                <w:rFonts w:hint="eastAsia" w:ascii="宋体" w:hAnsi="宋体" w:cs="宋体"/>
                <w:color w:val="000000"/>
                <w:kern w:val="0"/>
                <w:szCs w:val="21"/>
              </w:rPr>
              <w:t>为否定性指标，二级指标得分率80%（含）以下，即12分（含）以下，则结论为不予支持。</w:t>
            </w:r>
          </w:p>
        </w:tc>
      </w:tr>
      <w:tr>
        <w:tblPrEx>
          <w:tblCellMar>
            <w:top w:w="0" w:type="dxa"/>
            <w:left w:w="108" w:type="dxa"/>
            <w:bottom w:w="0" w:type="dxa"/>
            <w:right w:w="108" w:type="dxa"/>
          </w:tblCellMar>
        </w:tblPrEx>
        <w:trPr>
          <w:cantSplit/>
          <w:trHeight w:val="1644" w:hRule="atLeast"/>
          <w:jc w:val="center"/>
        </w:trPr>
        <w:tc>
          <w:tcPr>
            <w:tcW w:w="11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p>
        </w:tc>
        <w:tc>
          <w:tcPr>
            <w:tcW w:w="1133"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Cs w:val="21"/>
              </w:rPr>
            </w:pPr>
          </w:p>
        </w:tc>
        <w:tc>
          <w:tcPr>
            <w:tcW w:w="4514" w:type="dxa"/>
            <w:tcBorders>
              <w:top w:val="nil"/>
              <w:left w:val="nil"/>
              <w:bottom w:val="single" w:color="auto" w:sz="4" w:space="0"/>
              <w:right w:val="single" w:color="auto" w:sz="4" w:space="0"/>
            </w:tcBorders>
            <w:noWrap w:val="0"/>
            <w:vAlign w:val="center"/>
          </w:tcPr>
          <w:p>
            <w:pPr>
              <w:widowControl/>
              <w:spacing w:line="280" w:lineRule="exact"/>
              <w:rPr>
                <w:rFonts w:ascii="宋体" w:hAnsi="宋体" w:cs="宋体"/>
                <w:kern w:val="0"/>
                <w:szCs w:val="21"/>
              </w:rPr>
            </w:pPr>
            <w:r>
              <w:rPr>
                <w:rFonts w:hint="eastAsia" w:ascii="宋体" w:hAnsi="宋体" w:cs="宋体"/>
                <w:kern w:val="0"/>
                <w:szCs w:val="21"/>
              </w:rPr>
              <w:t>（注：公共性考虑政策实施能够满足社会绝大多数人享受政策效益的程度；无差异性考虑政策受益群体所享受到的效益是否存在明显差异；非排他性考察政策实施是否损害特定群体利益或将其排除在受益范围之外。）</w:t>
            </w:r>
          </w:p>
        </w:tc>
        <w:tc>
          <w:tcPr>
            <w:tcW w:w="6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16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r>
      <w:tr>
        <w:tblPrEx>
          <w:tblCellMar>
            <w:top w:w="0" w:type="dxa"/>
            <w:left w:w="108" w:type="dxa"/>
            <w:bottom w:w="0" w:type="dxa"/>
            <w:right w:w="108" w:type="dxa"/>
          </w:tblCellMar>
        </w:tblPrEx>
        <w:trPr>
          <w:cantSplit/>
          <w:trHeight w:val="2787" w:hRule="atLeast"/>
          <w:jc w:val="center"/>
        </w:trPr>
        <w:tc>
          <w:tcPr>
            <w:tcW w:w="11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p>
        </w:tc>
        <w:tc>
          <w:tcPr>
            <w:tcW w:w="1133"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目标合理性</w:t>
            </w:r>
          </w:p>
        </w:tc>
        <w:tc>
          <w:tcPr>
            <w:tcW w:w="4514" w:type="dxa"/>
            <w:tcBorders>
              <w:top w:val="nil"/>
              <w:left w:val="nil"/>
              <w:bottom w:val="single" w:color="auto" w:sz="4" w:space="0"/>
              <w:right w:val="single" w:color="auto" w:sz="4" w:space="0"/>
            </w:tcBorders>
            <w:noWrap w:val="0"/>
            <w:vAlign w:val="center"/>
          </w:tcPr>
          <w:p>
            <w:pPr>
              <w:widowControl/>
              <w:spacing w:line="280" w:lineRule="exact"/>
              <w:ind w:left="-65"/>
              <w:rPr>
                <w:rFonts w:ascii="宋体" w:hAnsi="宋体" w:cs="宋体"/>
                <w:kern w:val="0"/>
                <w:szCs w:val="21"/>
              </w:rPr>
            </w:pPr>
            <w:r>
              <w:rPr>
                <w:rFonts w:hint="eastAsia" w:ascii="宋体" w:hAnsi="宋体" w:cs="宋体"/>
                <w:kern w:val="0"/>
                <w:szCs w:val="21"/>
              </w:rPr>
              <w:t>①政策目标是否具有前瞻性、系统性及引导性；②政策目标是否体现了政策的稳定性和持续性，如，政策总体执行期限、政策当前所处阶段以及政策后期逐步退出等；③预期绩效是否显著，能否体现政策所需解决问题的明显改善；④是否选取最能体现总体目标实现程度的关键指标并明确了指标值，指标值是否符合行业正常水平或事业发展规律；⑤与其他地区同类项目对比，是否存在预期绩效较大差异等。</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66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cantSplit/>
          <w:trHeight w:val="1833" w:hRule="atLeast"/>
          <w:jc w:val="center"/>
        </w:trPr>
        <w:tc>
          <w:tcPr>
            <w:tcW w:w="110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政策资金合规性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（15分）</w:t>
            </w:r>
          </w:p>
        </w:tc>
        <w:tc>
          <w:tcPr>
            <w:tcW w:w="1133"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财政投入可行性</w:t>
            </w:r>
          </w:p>
        </w:tc>
        <w:tc>
          <w:tcPr>
            <w:tcW w:w="4514" w:type="dxa"/>
            <w:tcBorders>
              <w:top w:val="nil"/>
              <w:left w:val="nil"/>
              <w:bottom w:val="single" w:color="auto" w:sz="4" w:space="0"/>
              <w:right w:val="single" w:color="auto" w:sz="4" w:space="0"/>
            </w:tcBorders>
            <w:noWrap w:val="0"/>
            <w:vAlign w:val="center"/>
          </w:tcPr>
          <w:p>
            <w:pPr>
              <w:widowControl/>
              <w:spacing w:line="280" w:lineRule="exact"/>
              <w:ind w:left="-65" w:leftChars="-31"/>
              <w:rPr>
                <w:rFonts w:ascii="宋体" w:hAnsi="宋体" w:cs="宋体"/>
                <w:kern w:val="0"/>
                <w:szCs w:val="21"/>
              </w:rPr>
            </w:pPr>
            <w:r>
              <w:rPr>
                <w:rFonts w:hint="eastAsia" w:ascii="宋体" w:hAnsi="宋体" w:cs="宋体"/>
                <w:kern w:val="0"/>
                <w:szCs w:val="21"/>
              </w:rPr>
              <w:t>①是否属于公共财政支持范围，政府与市场边界界定是否清晰；②财政支持方式是否合理；③政策的财政事权与支出责任是否相适应；④是否分析财政承受能力及财政资金风险。⑤是否符合预算法、政府债务管理等相关规定。</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66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cantSplit/>
          <w:trHeight w:val="1255" w:hRule="atLeast"/>
          <w:jc w:val="center"/>
        </w:trPr>
        <w:tc>
          <w:tcPr>
            <w:tcW w:w="11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p>
        </w:tc>
        <w:tc>
          <w:tcPr>
            <w:tcW w:w="1133"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资金分配合理性</w:t>
            </w:r>
          </w:p>
        </w:tc>
        <w:tc>
          <w:tcPr>
            <w:tcW w:w="4514" w:type="dxa"/>
            <w:tcBorders>
              <w:top w:val="nil"/>
              <w:left w:val="nil"/>
              <w:bottom w:val="single" w:color="auto" w:sz="4" w:space="0"/>
              <w:right w:val="single" w:color="auto" w:sz="4" w:space="0"/>
            </w:tcBorders>
            <w:noWrap w:val="0"/>
            <w:vAlign w:val="center"/>
          </w:tcPr>
          <w:p>
            <w:pPr>
              <w:widowControl/>
              <w:spacing w:line="280" w:lineRule="exact"/>
              <w:rPr>
                <w:rFonts w:ascii="宋体" w:hAnsi="宋体" w:cs="宋体"/>
                <w:kern w:val="0"/>
                <w:szCs w:val="21"/>
              </w:rPr>
            </w:pPr>
            <w:r>
              <w:rPr>
                <w:rFonts w:hint="eastAsia" w:ascii="宋体" w:hAnsi="宋体" w:cs="宋体"/>
                <w:kern w:val="0"/>
                <w:szCs w:val="21"/>
              </w:rPr>
              <w:t>①资金分配依据是否合理，是否具有或符合相关政策的测算标准或定额标准；②资金分配结果是否与政策目标、政策内容相匹配。</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66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cantSplit/>
          <w:trHeight w:val="1960"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政策保障充分性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（15分）</w:t>
            </w:r>
          </w:p>
        </w:tc>
        <w:tc>
          <w:tcPr>
            <w:tcW w:w="1133"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保障措施得当性</w:t>
            </w:r>
          </w:p>
        </w:tc>
        <w:tc>
          <w:tcPr>
            <w:tcW w:w="4514" w:type="dxa"/>
            <w:tcBorders>
              <w:top w:val="nil"/>
              <w:left w:val="nil"/>
              <w:bottom w:val="single" w:color="auto" w:sz="4" w:space="0"/>
              <w:right w:val="single" w:color="auto" w:sz="4" w:space="0"/>
            </w:tcBorders>
            <w:noWrap w:val="0"/>
            <w:vAlign w:val="center"/>
          </w:tcPr>
          <w:p>
            <w:pPr>
              <w:widowControl/>
              <w:spacing w:line="280" w:lineRule="exact"/>
              <w:rPr>
                <w:rFonts w:ascii="宋体" w:hAnsi="宋体" w:cs="宋体"/>
                <w:kern w:val="0"/>
                <w:szCs w:val="21"/>
              </w:rPr>
            </w:pPr>
            <w:r>
              <w:rPr>
                <w:rFonts w:hint="eastAsia" w:ascii="宋体" w:hAnsi="宋体" w:cs="宋体"/>
                <w:kern w:val="0"/>
                <w:szCs w:val="21"/>
              </w:rPr>
              <w:t>①是否明确了政策组织构架、运行机制以及制度保障；②技术路线是否可行、先进，是否有技术经济性的优化比较；③是否订立明确、合理的计划进度安排；④分析风险是否全面深入、是否有应对措施及应急预案等。</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667" w:type="dxa"/>
            <w:tcBorders>
              <w:top w:val="nil"/>
              <w:left w:val="nil"/>
              <w:bottom w:val="single" w:color="auto" w:sz="4" w:space="0"/>
              <w:right w:val="single" w:color="auto" w:sz="4" w:space="0"/>
            </w:tcBorders>
            <w:noWrap w:val="0"/>
            <w:vAlign w:val="center"/>
          </w:tcPr>
          <w:p>
            <w:pPr>
              <w:widowControl/>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cantSplit/>
          <w:trHeight w:val="1907" w:hRule="atLeast"/>
          <w:jc w:val="center"/>
        </w:trPr>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政策实施可持续性</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（10分）</w:t>
            </w:r>
          </w:p>
        </w:tc>
        <w:tc>
          <w:tcPr>
            <w:tcW w:w="1133"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Cs w:val="21"/>
              </w:rPr>
            </w:pPr>
            <w:r>
              <w:rPr>
                <w:rFonts w:hint="eastAsia" w:ascii="宋体" w:hAnsi="宋体" w:cs="宋体"/>
                <w:color w:val="000000"/>
                <w:kern w:val="0"/>
                <w:szCs w:val="21"/>
              </w:rPr>
              <w:t>政策资源可持续性</w:t>
            </w:r>
          </w:p>
        </w:tc>
        <w:tc>
          <w:tcPr>
            <w:tcW w:w="4514" w:type="dxa"/>
            <w:tcBorders>
              <w:top w:val="single" w:color="auto" w:sz="4" w:space="0"/>
              <w:left w:val="nil"/>
              <w:bottom w:val="single" w:color="auto" w:sz="4" w:space="0"/>
              <w:right w:val="single" w:color="auto" w:sz="4" w:space="0"/>
            </w:tcBorders>
            <w:noWrap w:val="0"/>
            <w:vAlign w:val="center"/>
          </w:tcPr>
          <w:p>
            <w:pPr>
              <w:widowControl/>
              <w:spacing w:line="280" w:lineRule="exact"/>
              <w:rPr>
                <w:rFonts w:ascii="宋体" w:hAnsi="宋体" w:cs="宋体"/>
                <w:kern w:val="0"/>
                <w:szCs w:val="21"/>
              </w:rPr>
            </w:pPr>
            <w:r>
              <w:rPr>
                <w:rFonts w:hint="eastAsia" w:ascii="宋体" w:hAnsi="宋体" w:cs="宋体"/>
                <w:kern w:val="0"/>
                <w:szCs w:val="21"/>
              </w:rPr>
              <w:t>①政策实施是否有可持续的组织、政策等环境；②政策实施是否具备可持续的人员、资金、技术等条件和能力；③是否明确政策实施期限；④政策清理、退出和调整的制度安排是否明确可行；⑤是否按要求实行全生命周期管理。</w:t>
            </w:r>
          </w:p>
        </w:tc>
        <w:tc>
          <w:tcPr>
            <w:tcW w:w="64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66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Cs w:val="21"/>
              </w:rPr>
            </w:pPr>
          </w:p>
        </w:tc>
      </w:tr>
    </w:tbl>
    <w:p/>
    <w:p>
      <w:pPr>
        <w:widowControl/>
        <w:jc w:val="left"/>
        <w:rPr>
          <w:rFonts w:ascii="仿宋_GB2312" w:hAnsi="Calibri" w:eastAsia="仿宋_GB2312"/>
          <w:sz w:val="32"/>
          <w:szCs w:val="32"/>
        </w:rPr>
      </w:pPr>
    </w:p>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6A3"/>
    <w:rsid w:val="00116B77"/>
    <w:rsid w:val="001627CF"/>
    <w:rsid w:val="00176210"/>
    <w:rsid w:val="00197168"/>
    <w:rsid w:val="001B2DD3"/>
    <w:rsid w:val="001D2D4C"/>
    <w:rsid w:val="003426C6"/>
    <w:rsid w:val="00383AC5"/>
    <w:rsid w:val="003B412A"/>
    <w:rsid w:val="00432709"/>
    <w:rsid w:val="00491FCD"/>
    <w:rsid w:val="004E6C05"/>
    <w:rsid w:val="004F6F9F"/>
    <w:rsid w:val="00546BCB"/>
    <w:rsid w:val="00597732"/>
    <w:rsid w:val="005C236C"/>
    <w:rsid w:val="005E6EC9"/>
    <w:rsid w:val="00665896"/>
    <w:rsid w:val="0071336C"/>
    <w:rsid w:val="0071475B"/>
    <w:rsid w:val="00793214"/>
    <w:rsid w:val="00793D1A"/>
    <w:rsid w:val="007D43DA"/>
    <w:rsid w:val="007E50DB"/>
    <w:rsid w:val="007E661D"/>
    <w:rsid w:val="007F5EE6"/>
    <w:rsid w:val="0081530B"/>
    <w:rsid w:val="00867186"/>
    <w:rsid w:val="008C31C3"/>
    <w:rsid w:val="008E0E58"/>
    <w:rsid w:val="00941865"/>
    <w:rsid w:val="00956836"/>
    <w:rsid w:val="00986803"/>
    <w:rsid w:val="0099577A"/>
    <w:rsid w:val="009B7ED4"/>
    <w:rsid w:val="009F1522"/>
    <w:rsid w:val="00A06D88"/>
    <w:rsid w:val="00AB70A8"/>
    <w:rsid w:val="00AF5C06"/>
    <w:rsid w:val="00B8177D"/>
    <w:rsid w:val="00B86365"/>
    <w:rsid w:val="00BE032C"/>
    <w:rsid w:val="00C242EC"/>
    <w:rsid w:val="00CE156F"/>
    <w:rsid w:val="00DE50A2"/>
    <w:rsid w:val="00DF6FF4"/>
    <w:rsid w:val="00E17D5D"/>
    <w:rsid w:val="00E61BFC"/>
    <w:rsid w:val="00E841B7"/>
    <w:rsid w:val="00ED5E84"/>
    <w:rsid w:val="00EF16A3"/>
    <w:rsid w:val="00F57E52"/>
    <w:rsid w:val="00FC020E"/>
    <w:rsid w:val="00FD1044"/>
    <w:rsid w:val="01D26574"/>
    <w:rsid w:val="0AA5148F"/>
    <w:rsid w:val="29B3627F"/>
    <w:rsid w:val="3B685232"/>
    <w:rsid w:val="3DC10BC6"/>
    <w:rsid w:val="45EB606D"/>
    <w:rsid w:val="6731074C"/>
    <w:rsid w:val="71500A8F"/>
    <w:rsid w:val="73926785"/>
    <w:rsid w:val="779C327F"/>
    <w:rsid w:val="794E1E6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7</Pages>
  <Words>3345</Words>
  <Characters>3391</Characters>
  <Lines>0</Lines>
  <Paragraphs>0</Paragraphs>
  <TotalTime>43</TotalTime>
  <ScaleCrop>false</ScaleCrop>
  <LinksUpToDate>false</LinksUpToDate>
  <CharactersWithSpaces>3401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2019-11-14T00:58:00Z</dcterms:created>
  <dc:creator>user</dc:creator>
  <cp:lastModifiedBy>沐小涵</cp:lastModifiedBy>
  <cp:lastPrinted>2022-03-18T06:20:32Z</cp:lastPrinted>
  <dcterms:modified xsi:type="dcterms:W3CDTF">2022-03-18T06:42:14Z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E46C9ACA6FAD48F88CD707BF90A05CFD</vt:lpwstr>
  </property>
</Properties>
</file>