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方正黑体_GBK" w:hAnsi="Tahoma" w:eastAsia="方正黑体_GBK" w:cs="Tahoma"/>
          <w:kern w:val="0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宋体" w:eastAsia="方正黑体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部门年度项目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（参考提纲）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主要包括部门绩效自评工作的组织情况、实施过程，部门预算安排及资金分配拨付，部门日常财务管理、专项监督检查及审计部门审查意见等情况。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主要包括部门总体工作开展情况，专项资金和具体预算支出项目的预期绩效目标完成情况、存在问题及评价结论，对未完成绩效目标或偏离绩效目标较大的要单独列明，并分析说明原因。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主要包括通过绩效自评结果对比倒查的年初绩效目标设定质量情况，全面总结绩效目标设定是否清晰准确，绩效指标是否全面完整、科学合理，绩效标准是否恰当适宜、易于评价，深入分析原因，逐项查找差距。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eastAsia="仿宋_GB2312" w:cs="仿宋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主要包括针对存在的问题，研究制定的整改思路和工作措施，在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健全制度、完善政策、改进管理、优化</w:t>
      </w:r>
      <w:r>
        <w:rPr>
          <w:rFonts w:hint="eastAsia" w:ascii="仿宋_GB2312" w:hAnsi="宋体" w:eastAsia="仿宋_GB2312"/>
          <w:sz w:val="32"/>
          <w:szCs w:val="32"/>
        </w:rPr>
        <w:t>流程等提高部门绩效方面的具体做法，在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整合资金、调整项目及改善投向等优化部门支出结构方面的安排，在提高绩效目标设置质量方面的打算等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27517264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 w:val="0"/>
                                  <w:bCs w:val="0"/>
                                  <w:sz w:val="28"/>
                                  <w:szCs w:val="28"/>
                                  <w:lang w:val="zh-CN"/>
                                </w:rPr>
                                <w:t>29</w:t>
                              </w:r>
                              <w:r>
                                <w:rPr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7517264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  <w:lang w:val="zh-CN"/>
                          </w:rPr>
                          <w:t>29</w:t>
                        </w: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01C34"/>
    <w:rsid w:val="4B40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2022-04-21T03:09:00Z</dcterms:created>
  <dc:creator>Administrator</dc:creator>
  <cp:lastModifiedBy>Administrator</cp:lastModifiedBy>
  <dcterms:modified xsi:type="dcterms:W3CDTF">2022-04-21T03:10:20Z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040508A6BA18451DAD457AC0AF6395A9</vt:lpwstr>
  </property>
</Properties>
</file>