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承德应用技术职业学院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学生学业成绩考核评价办法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为加强学院学风建设，规范学生学业管理，完善考核评价制度，保证教学质量，依据《深化新时代教育评价改革总体方案》和《普通高等学校学生管理规定》的要求，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结合我院实际情况，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第一章 总</w:t>
      </w: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sz w:val="32"/>
          <w:szCs w:val="32"/>
        </w:rPr>
        <w:t>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指导思想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习近平新时代中国特色社会主义思想为指导，全面贯彻党的教育方针，坚持社会主义办学方向，落实立德树人根本任务，遵循技术技能人才成长规律，系统推进教育评价改革，发展素质教育，努力培养担当民族复兴大任的时代新人，培养德智体美劳全面发展的社会主义建设者和接班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评价原则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科学性与可操作性相结合的原则，确定评价内容，规范评价过程；坚持定性评价与定量评价相结合的原则，以定量评价为主，以定性评价为辅，实行多元化评价；坚持过程评价与结果评价相结合的原则，注重过程评价，充分运用过程性评价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本办法适用于学院所有全日制高职在籍学生。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学生学业考核范围为人才培养方案中所规定的全部内容，其中包括公共基础课、专业理论课、专业实训课、社会实践课、毕业设计、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实习（以上统称为课程）等考核内容。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学生学业成绩考核实行学院、系部二级管理。</w:t>
      </w:r>
      <w:bookmarkStart w:id="0" w:name="_Hlk86156872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第二章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考核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组织与实施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考务工作由教务处组织、协调并督导各系（部）实施。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学生须参加规定课程的考核，考核成绩按学期计入学业成绩单，学业成绩单归入个人学籍档案。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课程的考核一般</w:t>
      </w:r>
      <w:r>
        <w:rPr>
          <w:rFonts w:hint="eastAsia" w:ascii="仿宋_GB2312" w:hAnsi="仿宋_GB2312" w:eastAsia="仿宋_GB2312" w:cs="仿宋_GB2312"/>
          <w:sz w:val="32"/>
          <w:szCs w:val="32"/>
        </w:rPr>
        <w:t>分为考试评价、考查评价、鉴定评价、评语评价和答辩评价五种形式。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评价须根据国家有关规定、课程标准及教学特点确定相应形式，可采取笔试、口试、面试、技能测试、机考等中的一种或多种方式进行。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。一般采取闭卷考试，时间为90-120分钟。考试内容应覆盖本门课程的核心内容，逐步建立各课程的考试题库，试卷一般从题库中随机抽取，以检验学生的知识掌握情况和应用能力。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（二）考查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。一般以开卷考试、提交作业作品、报告或展示展演等方式进行。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鉴定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。以专业1+X证书、职业资格证书的获取为依据。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（四）评语评价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。一般用于岗位实习、社会实践等学习活动的评价。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（五）答辩评价。专指毕业设计和毕业论文答辩，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由答辩小组做出最终成绩评定，并由指导教师写出评语。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通用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能力考核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。取得全国大学英语考试（CET）四级和全国计算机等级考试（NCRE）二级以上证书的，可分别免修大学英语和信息技术基础课程，直接获得相应学分。课程成绩按100分、课程绩点按5分计算。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实践能力和创新能力考核。通过课程设计、课程大作业、毕业设计、毕业论文等综合实训项目，提升学生动手能力、实践能力和创新能力。课程设计或课程大作业一般占课程成绩的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20%。毕业设计或毕业论文单独赋分。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学生参加课程考核，必须先取得课程考核资格。有下列情形之一者，取消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资格，课程成绩注明“取消资格”字样，计0分：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（一）学生缺课累计超过某门课程教学时数三分之一者；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（二）学生旷课累计超过某门课程教学时数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分之一者；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（三）学生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缺交作业数量超过应交作业数量三分之一者；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选修课和重修课程应办理相应手续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（五）其他应取消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资格情况的。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学生的课程考核资格由任课教师认定，报系部备案，不具备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的成绩无效。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有下列情形之一者，课程计0分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，需要重修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（一）不按时参加考试，又未办理缓考手续者；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（二）考试作弊或严重违反考试纪律者；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取消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资格的课程，由学生本人提出申请，经所在系主任同意、教务处批准，可参加下一年级相应课程的重修。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第三章 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考核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成绩记录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课程成绩记录采用百分制、五级制两种形式。百分制记分，成绩达到60分及以上者为及格。五级制记分转换为百分制记分时，按优秀为95分、良好为85分、中等为75分、及格为65分、不及格为50分进行换算。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课程的成绩构成。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（一）公共基础及专业基础课成绩构成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课程总成绩=上课出勤情况（10%）+学习笔记（10%）+课堂测验及作业（20%）+课程设计/课程大作业（10%）+期末考试（50%）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[说明：数学、英语等不宜做课程设计/大作业的学科，可将此项分值并入“课堂测验及作业”一项]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（二）专业核心课及专业拓展课成绩构成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课程总成绩=理论部分（40%）+实训部分（40%）+课程设计/大作业（20%）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理论部分成绩=上课出勤（10%）+学习笔记（10%）+课堂测验及作业（10%）+理论考试（70%）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实训部分成绩=上课出勤（10%）+学习笔记（10%）+单元实训项目（50%）+综合实训项目（30%）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（三）体育成绩构成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课程总成绩=上课出勤（20%）+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过程考核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（50%）+体育技能（20%）+体能素质（10%）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（四）学生岗位实习成绩由校企共同考核，实行以企业为主、学院为辅的校企双方考核制度。考核成绩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分两部分：企业指导教师对学生工作表现进行考核，占总成绩的70%；学院指导教师对学生进行管理评价，占总成绩的30%。考核成绩使用五级制，分优秀90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100分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良好80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89分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中等79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70分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及格60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69分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不及格0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59五个等级。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任课教师应在学生考核结束后的一周内，完成学生成绩录入工作，并将学生成绩登记表报学生所在系备案。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学生考核成绩由教务处统一公布。学生在课程考核结束二周后，可上网查询考核成绩。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学生考核成绩一经确定，任何人不得擅自改动。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学生对考核成绩如有异议，可于下一学期开学后两周内提出书面申请，经审批后，由任课教师、阅卷教师与教研室主任共同核对成绩。经核查成绩有误的，应由任课教师填写《成绩变更审批表》进行更正。</w:t>
      </w:r>
      <w:bookmarkStart w:id="1" w:name="_Hlk8943986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第四章 学分与平均学分绩点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学分是计算学生学习量的单位，是确定学生能否毕业的重要依据。课程学分以该门课程的学时数为主要计算依据，一般以16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18学时记1学分，学分最小单位为0.5。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学生须达到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人才培养方案规定的学分要求且平均绩点学分在1.50以上者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方可毕业。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学分的获得。学生所修课程经过考核后，取得60分（合格）及以上成绩方可获得该课程相应学分。并根据成绩等级确定课程绩点。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毕业论文（毕业设计）、岗位实习等实践环节不记入平均学分绩点计算。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课程绩点计算。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计算课程绩点时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百分制和五级制计算方法相同。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课程绩点计算：课程绩点=分数/10 – 5；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计算课程绩点时，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根据四舍五入规则，精确到小数点后一位。课程成绩在60分（合格）以下的，课程绩点为0。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学分绩点计算。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学分绩点依据课程绩点和课程学分计算，在各课程学分绩点基础上计算平均学分绩点（Grade Point Average，GPA）。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right="0"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（一）学分绩点 = 课程绩点×课程学分；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right="0" w:firstLine="48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m:oMath>
        <m:r>
          <m:rPr>
            <m:nor/>
            <m:sty m:val="p"/>
          </m:rPr>
          <w:rPr>
            <w:rFonts w:hint="eastAsia" w:ascii="Cambria Math" w:hAnsi="Cambria Math" w:eastAsia="仿宋_GB2312" w:cs="仿宋_GB2312"/>
            <w:b w:val="0"/>
            <w:i w:val="0"/>
            <w:kern w:val="0"/>
            <w:sz w:val="32"/>
            <w:szCs w:val="32"/>
          </w:rPr>
          <m:t>平均学分绩点=</m:t>
        </m:r>
        <m:nary>
          <m:naryPr>
            <m:chr m:val="∑"/>
            <m:limLoc m:val="undOvr"/>
            <m:subHide m:val="1"/>
            <m:supHide m:val="1"/>
            <m:ctrlPr>
              <w:rPr>
                <w:rFonts w:hint="eastAsia" w:ascii="Cambria Math" w:hAnsi="Cambria Math" w:eastAsia="仿宋_GB2312" w:cs="仿宋_GB2312"/>
                <w:i/>
                <w:kern w:val="0"/>
                <w:sz w:val="32"/>
                <w:szCs w:val="32"/>
              </w:rPr>
            </m:ctrlPr>
          </m:naryPr>
          <m:sub>
            <m:ctrlPr>
              <w:rPr>
                <w:rFonts w:hint="eastAsia" w:ascii="Cambria Math" w:hAnsi="Cambria Math" w:eastAsia="仿宋_GB2312" w:cs="仿宋_GB2312"/>
                <w:i/>
                <w:kern w:val="0"/>
                <w:sz w:val="32"/>
                <w:szCs w:val="32"/>
              </w:rPr>
            </m:ctrlPr>
          </m:sub>
          <m:sup>
            <m:ctrlPr>
              <w:rPr>
                <w:rFonts w:hint="eastAsia" w:ascii="Cambria Math" w:hAnsi="Cambria Math" w:eastAsia="仿宋_GB2312" w:cs="仿宋_GB2312"/>
                <w:i/>
                <w:kern w:val="0"/>
                <w:sz w:val="32"/>
                <w:szCs w:val="32"/>
              </w:rPr>
            </m:ctrlPr>
          </m:sup>
          <m:e>
            <m:r>
              <m:rPr>
                <m:nor/>
                <m:sty m:val="p"/>
              </m:rPr>
              <w:rPr>
                <w:rFonts w:hint="eastAsia" w:ascii="Cambria Math" w:hAnsi="Cambria Math" w:eastAsia="仿宋_GB2312" w:cs="仿宋_GB2312"/>
                <w:b w:val="0"/>
                <w:i w:val="0"/>
                <w:kern w:val="0"/>
                <w:sz w:val="32"/>
                <w:szCs w:val="32"/>
              </w:rPr>
              <m:t>学分绩点</m:t>
            </m:r>
            <m:ctrlPr>
              <w:rPr>
                <w:rFonts w:hint="eastAsia" w:ascii="Cambria Math" w:hAnsi="Cambria Math" w:eastAsia="仿宋_GB2312" w:cs="仿宋_GB2312"/>
                <w:i/>
                <w:kern w:val="0"/>
                <w:sz w:val="32"/>
                <w:szCs w:val="32"/>
              </w:rPr>
            </m:ctrlPr>
          </m:e>
        </m:nary>
        <m:r>
          <m:rPr/>
          <w:rPr>
            <w:rFonts w:hint="eastAsia" w:ascii="Cambria Math" w:hAnsi="Cambria Math" w:eastAsia="仿宋_GB2312" w:cs="仿宋_GB2312"/>
            <w:kern w:val="0"/>
            <w:sz w:val="32"/>
            <w:szCs w:val="32"/>
          </w:rPr>
          <m:t>/</m:t>
        </m:r>
        <m:nary>
          <m:naryPr>
            <m:chr m:val="∑"/>
            <m:limLoc m:val="undOvr"/>
            <m:subHide m:val="1"/>
            <m:supHide m:val="1"/>
            <m:ctrlPr>
              <w:rPr>
                <w:rFonts w:hint="eastAsia" w:ascii="Cambria Math" w:hAnsi="Cambria Math" w:eastAsia="仿宋_GB2312" w:cs="仿宋_GB2312"/>
                <w:i/>
                <w:kern w:val="0"/>
                <w:sz w:val="32"/>
                <w:szCs w:val="32"/>
              </w:rPr>
            </m:ctrlPr>
          </m:naryPr>
          <m:sub>
            <m:ctrlPr>
              <w:rPr>
                <w:rFonts w:hint="eastAsia" w:ascii="Cambria Math" w:hAnsi="Cambria Math" w:eastAsia="仿宋_GB2312" w:cs="仿宋_GB2312"/>
                <w:i/>
                <w:kern w:val="0"/>
                <w:sz w:val="32"/>
                <w:szCs w:val="32"/>
              </w:rPr>
            </m:ctrlPr>
          </m:sub>
          <m:sup>
            <m:ctrlPr>
              <w:rPr>
                <w:rFonts w:hint="eastAsia" w:ascii="Cambria Math" w:hAnsi="Cambria Math" w:eastAsia="仿宋_GB2312" w:cs="仿宋_GB2312"/>
                <w:i/>
                <w:kern w:val="0"/>
                <w:sz w:val="32"/>
                <w:szCs w:val="32"/>
              </w:rPr>
            </m:ctrlPr>
          </m:sup>
          <m:e>
            <m:r>
              <m:rPr>
                <m:nor/>
                <m:sty m:val="p"/>
              </m:rPr>
              <w:rPr>
                <w:rFonts w:hint="eastAsia" w:ascii="Cambria Math" w:hAnsi="Cambria Math" w:eastAsia="仿宋_GB2312" w:cs="仿宋_GB2312"/>
                <w:b w:val="0"/>
                <w:i w:val="0"/>
                <w:kern w:val="0"/>
                <w:sz w:val="32"/>
                <w:szCs w:val="32"/>
              </w:rPr>
              <m:t>课程学分</m:t>
            </m:r>
            <m:ctrlPr>
              <w:rPr>
                <w:rFonts w:hint="eastAsia" w:ascii="Cambria Math" w:hAnsi="Cambria Math" w:eastAsia="仿宋_GB2312" w:cs="仿宋_GB2312"/>
                <w:i/>
                <w:kern w:val="0"/>
                <w:sz w:val="32"/>
                <w:szCs w:val="32"/>
              </w:rPr>
            </m:ctrlPr>
          </m:e>
        </m:nary>
      </m:oMath>
      <w:r>
        <w:rPr>
          <w:rFonts w:hint="eastAsia" w:ascii="仿宋_GB2312" w:hAnsi="仿宋_GB2312" w:eastAsia="仿宋_GB2312" w:cs="仿宋_GB2312"/>
          <w:i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计算平均学分绩点时，根据四舍五入规则，精确到小数点后两位。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平均学分绩点是衡量学生学习质量的重要依据。平均学分绩点将作为学生评优评先、奖励资助、就业推荐的重要参考。平均绩点学分转换为学生学业成绩后按60%记入个人综合素质成绩，一并归入个人学籍档案。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学业成绩计算：学业成绩=(平均绩点学分+5)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×10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学生因退学等情况中止学业，学校对其在校学习期间所修课程及已获得的学分予以记录。学生重新通过入学考试并再次入学，其已获得的学分经学校认定后有效。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奖励学分。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获职业技能大赛省赛二等奖者，经认定可奖励4-6学分或一门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相应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专业课学分；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获职业技能大赛省赛一等奖者，经认定可奖励8-12学分或两门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相应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专业课学分；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国赛取得优异成绩的另议。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黑体" w:hAnsi="黑体" w:eastAsia="黑体" w:cs="黑体"/>
          <w:b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kern w:val="2"/>
          <w:sz w:val="32"/>
          <w:szCs w:val="32"/>
        </w:rPr>
        <w:t>第五章 附</w:t>
      </w:r>
      <w:r>
        <w:rPr>
          <w:rFonts w:hint="eastAsia" w:ascii="黑体" w:hAnsi="黑体" w:eastAsia="黑体" w:cs="黑体"/>
          <w:b w:val="0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kern w:val="2"/>
          <w:sz w:val="32"/>
          <w:szCs w:val="32"/>
        </w:rPr>
        <w:t>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课程免修、补考、缓考与重修参照学院相关文件执行。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本办法由学院教务处负责解释。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B1F04"/>
    <w:rsid w:val="629B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2022-04-21T03:34:00Z</dcterms:created>
  <dc:creator>Administrator</dc:creator>
  <cp:lastModifiedBy>Administrator</cp:lastModifiedBy>
  <dcterms:modified xsi:type="dcterms:W3CDTF">2022-04-21T03:35:19Z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62D97DD8DEDB46829333BFCE0BB41325</vt:lpwstr>
  </property>
</Properties>
</file>