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autoSpaceDE/>
        <w:autoSpaceDN/>
        <w:bidi w:val="0"/>
        <w:spacing w:before="0" w:beforeAutospacing="0" w:after="0" w:afterAutospacing="0" w:line="560" w:lineRule="exact"/>
        <w:ind w:firstLine="883" w:firstLineChars="200"/>
        <w:jc w:val="center"/>
        <w:textAlignment w:val="auto"/>
        <w:rPr>
          <w:rFonts w:hint="eastAsia" w:ascii="方正小标宋简体" w:hAnsi="方正小标宋简体" w:eastAsia="方正小标宋简体" w:cs="方正小标宋简体"/>
          <w:b/>
          <w:sz w:val="44"/>
          <w:szCs w:val="44"/>
        </w:rPr>
      </w:pPr>
    </w:p>
    <w:p>
      <w:pPr>
        <w:pStyle w:val="11"/>
        <w:keepNext w:val="0"/>
        <w:keepLines w:val="0"/>
        <w:pageBreakBefore w:val="0"/>
        <w:kinsoku/>
        <w:wordWrap/>
        <w:overflowPunct/>
        <w:topLinePunct w:val="0"/>
        <w:autoSpaceDE/>
        <w:autoSpaceDN/>
        <w:bidi w:val="0"/>
        <w:spacing w:before="0" w:beforeAutospacing="0" w:after="0" w:afterAutospacing="0" w:line="560" w:lineRule="exact"/>
        <w:ind w:firstLine="883" w:firstLineChars="200"/>
        <w:jc w:val="center"/>
        <w:textAlignment w:val="auto"/>
        <w:rPr>
          <w:rFonts w:hint="eastAsia" w:ascii="方正小标宋简体" w:hAnsi="方正小标宋简体" w:eastAsia="方正小标宋简体" w:cs="方正小标宋简体"/>
          <w:b/>
          <w:sz w:val="44"/>
          <w:szCs w:val="44"/>
        </w:rPr>
      </w:pPr>
    </w:p>
    <w:p>
      <w:pPr>
        <w:pStyle w:val="11"/>
        <w:keepNext w:val="0"/>
        <w:keepLines w:val="0"/>
        <w:pageBreakBefore w:val="0"/>
        <w:kinsoku/>
        <w:wordWrap/>
        <w:overflowPunct/>
        <w:topLinePunct w:val="0"/>
        <w:autoSpaceDE/>
        <w:autoSpaceDN/>
        <w:bidi w:val="0"/>
        <w:spacing w:before="0" w:beforeAutospacing="0" w:after="0" w:afterAutospacing="0" w:line="560" w:lineRule="exact"/>
        <w:ind w:firstLine="883" w:firstLineChars="200"/>
        <w:jc w:val="center"/>
        <w:textAlignment w:val="auto"/>
        <w:rPr>
          <w:rFonts w:hint="eastAsia" w:ascii="方正小标宋简体" w:hAnsi="方正小标宋简体" w:eastAsia="方正小标宋简体" w:cs="方正小标宋简体"/>
          <w:b/>
          <w:sz w:val="44"/>
          <w:szCs w:val="44"/>
        </w:rPr>
      </w:pPr>
    </w:p>
    <w:p>
      <w:pPr>
        <w:pStyle w:val="11"/>
        <w:keepNext w:val="0"/>
        <w:keepLines w:val="0"/>
        <w:pageBreakBefore w:val="0"/>
        <w:kinsoku/>
        <w:wordWrap/>
        <w:overflowPunct/>
        <w:topLinePunct w:val="0"/>
        <w:autoSpaceDE/>
        <w:autoSpaceDN/>
        <w:bidi w:val="0"/>
        <w:spacing w:before="0" w:beforeAutospacing="0" w:after="0" w:afterAutospacing="0" w:line="560" w:lineRule="exact"/>
        <w:ind w:firstLine="883" w:firstLineChars="200"/>
        <w:jc w:val="center"/>
        <w:textAlignment w:val="auto"/>
        <w:rPr>
          <w:rFonts w:hint="eastAsia" w:ascii="方正小标宋简体" w:hAnsi="方正小标宋简体" w:eastAsia="方正小标宋简体" w:cs="方正小标宋简体"/>
          <w:b/>
          <w:sz w:val="44"/>
          <w:szCs w:val="44"/>
        </w:rPr>
      </w:pPr>
    </w:p>
    <w:p>
      <w:pPr>
        <w:pStyle w:val="11"/>
        <w:keepNext w:val="0"/>
        <w:keepLines w:val="0"/>
        <w:pageBreakBefore w:val="0"/>
        <w:kinsoku/>
        <w:wordWrap/>
        <w:overflowPunct/>
        <w:topLinePunct w:val="0"/>
        <w:autoSpaceDE/>
        <w:autoSpaceDN/>
        <w:bidi w:val="0"/>
        <w:spacing w:before="0" w:beforeAutospacing="0" w:after="0" w:afterAutospacing="0" w:line="560" w:lineRule="exact"/>
        <w:ind w:firstLine="883" w:firstLineChars="20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办通字〔202</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35</w:t>
      </w:r>
      <w:r>
        <w:rPr>
          <w:rFonts w:hint="eastAsia" w:ascii="仿宋_GB2312" w:hAnsi="仿宋_GB2312" w:eastAsia="仿宋_GB2312" w:cs="仿宋_GB2312"/>
          <w:bCs/>
          <w:color w:val="000000"/>
          <w:kern w:val="0"/>
          <w:sz w:val="32"/>
          <w:szCs w:val="32"/>
        </w:rPr>
        <w:t>号</w:t>
      </w:r>
    </w:p>
    <w:p>
      <w:pPr>
        <w:pStyle w:val="2"/>
        <w:keepNext w:val="0"/>
        <w:keepLines w:val="0"/>
        <w:pageBreakBefore w:val="0"/>
        <w:kinsoku/>
        <w:wordWrap/>
        <w:overflowPunct/>
        <w:topLinePunct w:val="0"/>
        <w:autoSpaceDE/>
        <w:autoSpaceDN/>
        <w:bidi w:val="0"/>
        <w:spacing w:line="560" w:lineRule="exact"/>
        <w:ind w:left="0" w:leftChars="0" w:firstLine="422" w:firstLineChars="200"/>
        <w:textAlignment w:val="auto"/>
        <w:rPr>
          <w:rFonts w:hint="eastAsia"/>
        </w:rPr>
      </w:pPr>
    </w:p>
    <w:p>
      <w:pPr>
        <w:keepNext w:val="0"/>
        <w:keepLines w:val="0"/>
        <w:pageBreakBefore w:val="0"/>
        <w:kinsoku/>
        <w:wordWrap/>
        <w:overflowPunct/>
        <w:topLinePunct w:val="0"/>
        <w:autoSpaceDE/>
        <w:autoSpaceDN/>
        <w:bidi w:val="0"/>
        <w:adjustRightInd/>
        <w:snapToGrid w:val="0"/>
        <w:spacing w:line="560" w:lineRule="exact"/>
        <w:jc w:val="center"/>
        <w:textAlignment w:val="auto"/>
        <w:outlineLvl w:val="0"/>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承德应用技术职业学院</w:t>
      </w:r>
      <w:r>
        <w:rPr>
          <w:rFonts w:hint="eastAsia" w:ascii="Times New Roman" w:hAnsi="Times New Roman" w:eastAsia="方正小标宋简体" w:cs="Times New Roman"/>
          <w:sz w:val="44"/>
          <w:szCs w:val="44"/>
          <w:lang w:val="en-US" w:eastAsia="zh-CN"/>
        </w:rPr>
        <w:t>党政办公室</w:t>
      </w:r>
    </w:p>
    <w:p>
      <w:pPr>
        <w:keepNext w:val="0"/>
        <w:keepLines w:val="0"/>
        <w:pageBreakBefore w:val="0"/>
        <w:kinsoku/>
        <w:wordWrap/>
        <w:overflowPunct/>
        <w:topLinePunct w:val="0"/>
        <w:autoSpaceDE/>
        <w:autoSpaceDN/>
        <w:bidi w:val="0"/>
        <w:adjustRightInd/>
        <w:snapToGrid w:val="0"/>
        <w:spacing w:line="560" w:lineRule="exact"/>
        <w:jc w:val="center"/>
        <w:textAlignment w:val="auto"/>
        <w:outlineLvl w:val="0"/>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关于印发《承德应用技术职业学院专业建设</w:t>
      </w:r>
    </w:p>
    <w:p>
      <w:pPr>
        <w:keepNext w:val="0"/>
        <w:keepLines w:val="0"/>
        <w:pageBreakBefore w:val="0"/>
        <w:kinsoku/>
        <w:wordWrap/>
        <w:overflowPunct/>
        <w:topLinePunct w:val="0"/>
        <w:autoSpaceDE/>
        <w:autoSpaceDN/>
        <w:bidi w:val="0"/>
        <w:adjustRightInd/>
        <w:snapToGrid w:val="0"/>
        <w:spacing w:line="560" w:lineRule="exact"/>
        <w:jc w:val="center"/>
        <w:textAlignment w:val="auto"/>
        <w:outlineLvl w:val="0"/>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指导委员会章程》的通知</w:t>
      </w:r>
    </w:p>
    <w:p>
      <w:pPr>
        <w:pStyle w:val="11"/>
        <w:keepNext w:val="0"/>
        <w:keepLines w:val="0"/>
        <w:pageBreakBefore w:val="0"/>
        <w:kinsoku/>
        <w:wordWrap/>
        <w:overflowPunct/>
        <w:topLinePunct w:val="0"/>
        <w:autoSpaceDE/>
        <w:autoSpaceDN/>
        <w:bidi w:val="0"/>
        <w:spacing w:before="0" w:beforeAutospacing="0" w:after="0" w:afterAutospacing="0" w:line="560" w:lineRule="exact"/>
        <w:ind w:firstLine="883" w:firstLineChars="200"/>
        <w:jc w:val="both"/>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0"/>
        <w:rPr>
          <w:rFonts w:hint="eastAsia" w:ascii="仿宋_GB2312" w:hAnsi="仿宋_GB2312" w:eastAsia="仿宋_GB2312" w:cs="仿宋_GB2312"/>
          <w:bCs/>
          <w:w w:val="105"/>
          <w:sz w:val="32"/>
          <w:szCs w:val="32"/>
        </w:rPr>
      </w:pPr>
      <w:r>
        <w:rPr>
          <w:rFonts w:hint="eastAsia" w:ascii="仿宋_GB2312" w:hAnsi="仿宋_GB2312" w:eastAsia="仿宋_GB2312" w:cs="仿宋_GB2312"/>
          <w:bCs/>
          <w:w w:val="105"/>
          <w:sz w:val="32"/>
          <w:szCs w:val="32"/>
        </w:rPr>
        <w:t>各单位：</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left"/>
        <w:textAlignment w:val="auto"/>
        <w:outlineLvl w:val="0"/>
        <w:rPr>
          <w:rFonts w:hint="eastAsia" w:ascii="仿宋_GB2312" w:hAnsi="仿宋_GB2312" w:eastAsia="仿宋_GB2312" w:cs="仿宋_GB2312"/>
          <w:bCs/>
          <w:w w:val="105"/>
          <w:sz w:val="32"/>
          <w:szCs w:val="32"/>
        </w:rPr>
      </w:pPr>
      <w:r>
        <w:rPr>
          <w:rFonts w:hint="eastAsia" w:ascii="仿宋_GB2312" w:hAnsi="仿宋_GB2312" w:eastAsia="仿宋_GB2312" w:cs="仿宋_GB2312"/>
          <w:bCs/>
          <w:w w:val="105"/>
          <w:sz w:val="32"/>
          <w:szCs w:val="32"/>
        </w:rPr>
        <w:t>《承德应用技术职业学院专业建设指导委员会章程》经</w:t>
      </w:r>
      <w:r>
        <w:rPr>
          <w:rFonts w:hint="eastAsia" w:ascii="仿宋_GB2312" w:hAnsi="仿宋_GB2312" w:eastAsia="仿宋_GB2312" w:cs="仿宋_GB2312"/>
          <w:bCs/>
          <w:w w:val="105"/>
          <w:sz w:val="32"/>
          <w:szCs w:val="32"/>
          <w:lang w:val="en-US" w:eastAsia="zh-CN"/>
        </w:rPr>
        <w:t>第48次党委会</w:t>
      </w:r>
      <w:r>
        <w:rPr>
          <w:rFonts w:hint="eastAsia" w:ascii="仿宋_GB2312" w:hAnsi="仿宋_GB2312" w:eastAsia="仿宋_GB2312" w:cs="仿宋_GB2312"/>
          <w:bCs/>
          <w:w w:val="105"/>
          <w:sz w:val="32"/>
          <w:szCs w:val="32"/>
        </w:rPr>
        <w:t>审议通过，现印发给你们，请遵照执行。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承德应用技术职业学院党政办公室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方正小标宋简体" w:hAnsi="方正小标宋简体" w:eastAsia="方正小标宋简体" w:cs="方正小标宋简体"/>
          <w:b w:val="0"/>
          <w:bCs w:val="0"/>
          <w:sz w:val="44"/>
          <w:szCs w:val="44"/>
          <w:lang w:val="en-US"/>
        </w:rPr>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984" w:left="1588" w:header="851" w:footer="992" w:gutter="0"/>
          <w:pgNumType w:fmt="decimal" w:start="1"/>
          <w:cols w:space="720" w:num="1"/>
          <w:titlePg/>
          <w:docGrid w:type="lines" w:linePitch="312" w:charSpace="0"/>
        </w:sect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highlight w:val="none"/>
        </w:rPr>
        <w:t>202</w:t>
      </w:r>
      <w:r>
        <w:rPr>
          <w:rFonts w:hint="eastAsia" w:ascii="仿宋_GB2312" w:hAnsi="仿宋_GB2312" w:eastAsia="仿宋_GB2312" w:cs="仿宋_GB2312"/>
          <w:bCs/>
          <w:color w:val="000000"/>
          <w:kern w:val="0"/>
          <w:sz w:val="32"/>
          <w:szCs w:val="32"/>
          <w:highlight w:val="none"/>
          <w:lang w:val="en-US" w:eastAsia="zh-CN"/>
        </w:rPr>
        <w:t>2</w:t>
      </w:r>
      <w:r>
        <w:rPr>
          <w:rFonts w:hint="eastAsia" w:ascii="仿宋_GB2312" w:hAnsi="仿宋_GB2312" w:eastAsia="仿宋_GB2312" w:cs="仿宋_GB2312"/>
          <w:bCs/>
          <w:color w:val="000000"/>
          <w:kern w:val="0"/>
          <w:sz w:val="32"/>
          <w:szCs w:val="32"/>
          <w:highlight w:val="none"/>
        </w:rPr>
        <w:t>年</w:t>
      </w:r>
      <w:r>
        <w:rPr>
          <w:rFonts w:hint="eastAsia" w:ascii="仿宋_GB2312" w:hAnsi="仿宋_GB2312" w:eastAsia="仿宋_GB2312" w:cs="仿宋_GB2312"/>
          <w:bCs/>
          <w:color w:val="000000"/>
          <w:kern w:val="0"/>
          <w:sz w:val="32"/>
          <w:szCs w:val="32"/>
          <w:highlight w:val="none"/>
          <w:lang w:val="en-US" w:eastAsia="zh-CN"/>
        </w:rPr>
        <w:t>12</w:t>
      </w:r>
      <w:r>
        <w:rPr>
          <w:rFonts w:hint="eastAsia" w:ascii="仿宋_GB2312" w:hAnsi="仿宋_GB2312" w:eastAsia="仿宋_GB2312" w:cs="仿宋_GB2312"/>
          <w:bCs/>
          <w:color w:val="000000"/>
          <w:kern w:val="0"/>
          <w:sz w:val="32"/>
          <w:szCs w:val="32"/>
          <w:highlight w:val="none"/>
        </w:rPr>
        <w:t>月</w:t>
      </w:r>
      <w:bookmarkStart w:id="0" w:name="_Toc365134279"/>
      <w:r>
        <w:rPr>
          <w:rFonts w:hint="eastAsia" w:ascii="仿宋_GB2312" w:hAnsi="仿宋_GB2312" w:eastAsia="仿宋_GB2312" w:cs="仿宋_GB2312"/>
          <w:bCs/>
          <w:color w:val="000000"/>
          <w:kern w:val="0"/>
          <w:sz w:val="32"/>
          <w:szCs w:val="32"/>
          <w:highlight w:val="none"/>
          <w:lang w:val="en-US" w:eastAsia="zh-CN"/>
        </w:rPr>
        <w:t>11日</w:t>
      </w:r>
    </w:p>
    <w:bookmarkEnd w:id="0"/>
    <w:p>
      <w:pPr>
        <w:keepNext w:val="0"/>
        <w:keepLines w:val="0"/>
        <w:pageBreakBefore w:val="0"/>
        <w:kinsoku/>
        <w:wordWrap/>
        <w:overflowPunct/>
        <w:topLinePunct w:val="0"/>
        <w:autoSpaceDE/>
        <w:autoSpaceDN/>
        <w:bidi w:val="0"/>
        <w:adjustRightInd/>
        <w:snapToGrid w:val="0"/>
        <w:spacing w:line="560" w:lineRule="exact"/>
        <w:ind w:firstLine="880" w:firstLineChars="200"/>
        <w:jc w:val="both"/>
        <w:textAlignment w:val="auto"/>
        <w:outlineLvl w:val="0"/>
        <w:rPr>
          <w:rFonts w:hint="eastAsia"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60" w:lineRule="exact"/>
        <w:jc w:val="center"/>
        <w:textAlignment w:val="auto"/>
        <w:outlineLvl w:val="0"/>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承德</w:t>
      </w:r>
      <w:r>
        <w:rPr>
          <w:rFonts w:hint="eastAsia" w:ascii="Times New Roman" w:hAnsi="Times New Roman" w:eastAsia="方正小标宋简体" w:cs="Times New Roman"/>
          <w:sz w:val="44"/>
          <w:szCs w:val="44"/>
          <w:lang w:val="en-US" w:eastAsia="zh-CN"/>
        </w:rPr>
        <w:t>应用</w:t>
      </w:r>
      <w:r>
        <w:rPr>
          <w:rFonts w:hint="eastAsia" w:ascii="Times New Roman" w:hAnsi="Times New Roman" w:eastAsia="方正小标宋简体" w:cs="Times New Roman"/>
          <w:sz w:val="44"/>
          <w:szCs w:val="44"/>
        </w:rPr>
        <w:t>技术</w:t>
      </w:r>
      <w:r>
        <w:rPr>
          <w:rFonts w:hint="eastAsia" w:ascii="Times New Roman" w:hAnsi="Times New Roman" w:eastAsia="方正小标宋简体" w:cs="Times New Roman"/>
          <w:sz w:val="44"/>
          <w:szCs w:val="44"/>
          <w:lang w:val="en-US" w:eastAsia="zh-CN"/>
        </w:rPr>
        <w:t>职业</w:t>
      </w:r>
      <w:r>
        <w:rPr>
          <w:rFonts w:hint="eastAsia" w:ascii="Times New Roman" w:hAnsi="Times New Roman" w:eastAsia="方正小标宋简体" w:cs="Times New Roman"/>
          <w:sz w:val="44"/>
          <w:szCs w:val="44"/>
        </w:rPr>
        <w:t>学院</w:t>
      </w:r>
    </w:p>
    <w:p>
      <w:pPr>
        <w:keepNext w:val="0"/>
        <w:keepLines w:val="0"/>
        <w:pageBreakBefore w:val="0"/>
        <w:kinsoku/>
        <w:wordWrap/>
        <w:overflowPunct/>
        <w:topLinePunct w:val="0"/>
        <w:autoSpaceDE/>
        <w:autoSpaceDN/>
        <w:bidi w:val="0"/>
        <w:adjustRightInd/>
        <w:snapToGrid w:val="0"/>
        <w:spacing w:line="560" w:lineRule="exact"/>
        <w:jc w:val="center"/>
        <w:textAlignment w:val="auto"/>
        <w:outlineLvl w:val="0"/>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专业建设指导委员会章程</w:t>
      </w:r>
    </w:p>
    <w:p>
      <w:pPr>
        <w:keepNext w:val="0"/>
        <w:keepLines w:val="0"/>
        <w:pageBreakBefore w:val="0"/>
        <w:kinsoku/>
        <w:wordWrap/>
        <w:overflowPunct/>
        <w:topLinePunct w:val="0"/>
        <w:autoSpaceDE/>
        <w:autoSpaceDN/>
        <w:bidi w:val="0"/>
        <w:adjustRightInd/>
        <w:snapToGrid w:val="0"/>
        <w:spacing w:line="560" w:lineRule="exact"/>
        <w:jc w:val="center"/>
        <w:textAlignment w:val="auto"/>
        <w:outlineLvl w:val="0"/>
        <w:rPr>
          <w:rFonts w:hint="eastAsia" w:ascii="Times New Roman" w:hAnsi="Times New Roman" w:eastAsia="方正小标宋简体" w:cs="Times New Roman"/>
          <w:sz w:val="44"/>
          <w:szCs w:val="44"/>
        </w:rPr>
      </w:pPr>
      <w:bookmarkStart w:id="1" w:name="_GoBack"/>
      <w:bookmarkEnd w:id="1"/>
    </w:p>
    <w:p>
      <w:pPr>
        <w:keepNext w:val="0"/>
        <w:keepLines w:val="0"/>
        <w:pageBreakBefore w:val="0"/>
        <w:kinsoku/>
        <w:wordWrap/>
        <w:overflowPunct/>
        <w:topLinePunct w:val="0"/>
        <w:autoSpaceDE/>
        <w:autoSpaceDN/>
        <w:bidi w:val="0"/>
        <w:adjustRightInd/>
        <w:snapToGrid w:val="0"/>
        <w:spacing w:line="560" w:lineRule="exact"/>
        <w:ind w:firstLine="640" w:firstLineChars="200"/>
        <w:jc w:val="center"/>
        <w:textAlignment w:val="auto"/>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第一章 总则</w:t>
      </w:r>
    </w:p>
    <w:p>
      <w:pPr>
        <w:pStyle w:val="7"/>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为科学制定专业建设发展规划，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科学合理</w:t>
      </w:r>
      <w:r>
        <w:rPr>
          <w:rFonts w:hint="eastAsia" w:ascii="仿宋_GB2312" w:hAnsi="仿宋_GB2312" w:eastAsia="仿宋_GB2312" w:cs="仿宋_GB2312"/>
          <w:color w:val="000000" w:themeColor="text1"/>
          <w:sz w:val="32"/>
          <w:szCs w:val="32"/>
          <w14:textFill>
            <w14:solidFill>
              <w14:schemeClr w14:val="tx1"/>
            </w14:solidFill>
          </w14:textFill>
        </w:rPr>
        <w:t>设置专业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审议专业人才培养方案，指导专业建设和教学改革，全面提升专业建设水平，提高人才培养的质量、效益和社会竞争力，学院成立专业建设指导委员会（以下简称专委会）。</w:t>
      </w:r>
    </w:p>
    <w:p>
      <w:pPr>
        <w:pStyle w:val="7"/>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snapToGrid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专委会是学院专业建设的常设指导咨询机构，在院长和教学副院长的领导下开展日常工作。</w:t>
      </w:r>
      <w:r>
        <w:rPr>
          <w:rFonts w:hint="eastAsia" w:ascii="仿宋_GB2312" w:hAnsi="仿宋_GB2312" w:eastAsia="仿宋_GB2312" w:cs="仿宋_GB2312"/>
          <w:color w:val="333333"/>
          <w:sz w:val="32"/>
          <w:szCs w:val="32"/>
        </w:rPr>
        <w:t>具体负责专业建设和人才培养的研究、指导、咨询、服务等工作。</w:t>
      </w:r>
    </w:p>
    <w:p>
      <w:pPr>
        <w:keepNext w:val="0"/>
        <w:keepLines w:val="0"/>
        <w:pageBreakBefore w:val="0"/>
        <w:kinsoku/>
        <w:wordWrap/>
        <w:overflowPunct/>
        <w:topLinePunct w:val="0"/>
        <w:autoSpaceDE/>
        <w:autoSpaceDN/>
        <w:bidi w:val="0"/>
        <w:adjustRightInd/>
        <w:snapToGrid w:val="0"/>
        <w:spacing w:line="560" w:lineRule="exact"/>
        <w:ind w:firstLine="640" w:firstLineChars="200"/>
        <w:jc w:val="center"/>
        <w:textAlignment w:val="auto"/>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第二章 组织机构</w:t>
      </w:r>
    </w:p>
    <w:p>
      <w:pPr>
        <w:keepNext w:val="0"/>
        <w:keepLines w:val="0"/>
        <w:pageBreakBefore w:val="0"/>
        <w:widowControl/>
        <w:tabs>
          <w:tab w:val="left" w:pos="8460"/>
        </w:tabs>
        <w:kinsoku/>
        <w:wordWrap/>
        <w:overflowPunct/>
        <w:topLinePunct w:val="0"/>
        <w:autoSpaceDE/>
        <w:autoSpaceDN/>
        <w:bidi w:val="0"/>
        <w:spacing w:beforeAutospacing="0" w:afterAutospacing="0" w:line="560" w:lineRule="exact"/>
        <w:ind w:right="28" w:firstLine="643"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第三条</w:t>
      </w:r>
      <w:r>
        <w:rPr>
          <w:rFonts w:hint="eastAsia" w:ascii="仿宋_GB2312" w:hAnsi="仿宋_GB2312" w:eastAsia="仿宋_GB2312" w:cs="仿宋_GB2312"/>
          <w:color w:val="333333"/>
          <w:kern w:val="0"/>
          <w:sz w:val="32"/>
          <w:szCs w:val="32"/>
        </w:rPr>
        <w:t xml:space="preserve"> 专委会设主任委员1名，副主任委员1名，委员</w:t>
      </w:r>
      <w:r>
        <w:rPr>
          <w:rFonts w:hint="eastAsia" w:ascii="仿宋_GB2312" w:hAnsi="仿宋_GB2312" w:eastAsia="仿宋_GB2312" w:cs="仿宋_GB2312"/>
          <w:color w:val="333333"/>
          <w:kern w:val="0"/>
          <w:sz w:val="32"/>
          <w:szCs w:val="32"/>
          <w:lang w:val="en-US" w:eastAsia="zh-CN"/>
        </w:rPr>
        <w:t>21-25名</w:t>
      </w:r>
      <w:r>
        <w:rPr>
          <w:rFonts w:hint="eastAsia" w:ascii="仿宋_GB2312" w:hAnsi="仿宋_GB2312" w:eastAsia="仿宋_GB2312" w:cs="仿宋_GB2312"/>
          <w:color w:val="333333"/>
          <w:kern w:val="0"/>
          <w:sz w:val="32"/>
          <w:szCs w:val="32"/>
        </w:rPr>
        <w:t>，组成人数为单数。主任委员由院长担任，副主任委员由副院长担任。</w:t>
      </w:r>
    </w:p>
    <w:p>
      <w:pPr>
        <w:keepNext w:val="0"/>
        <w:keepLines w:val="0"/>
        <w:pageBreakBefore w:val="0"/>
        <w:widowControl/>
        <w:tabs>
          <w:tab w:val="left" w:pos="8460"/>
        </w:tabs>
        <w:kinsoku/>
        <w:wordWrap/>
        <w:overflowPunct/>
        <w:topLinePunct w:val="0"/>
        <w:autoSpaceDE/>
        <w:autoSpaceDN/>
        <w:bidi w:val="0"/>
        <w:spacing w:beforeAutospacing="0" w:afterAutospacing="0" w:line="560" w:lineRule="exact"/>
        <w:ind w:right="28" w:firstLine="643" w:firstLineChars="200"/>
        <w:jc w:val="left"/>
        <w:textAlignment w:val="auto"/>
        <w:rPr>
          <w:rFonts w:hint="eastAsia" w:ascii="仿宋_GB2312" w:hAnsi="仿宋_GB2312" w:eastAsia="仿宋_GB2312" w:cs="仿宋_GB2312"/>
          <w:b/>
          <w:color w:val="333333"/>
          <w:kern w:val="0"/>
          <w:sz w:val="32"/>
          <w:szCs w:val="32"/>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14:textFill>
            <w14:solidFill>
              <w14:schemeClr w14:val="tx1"/>
            </w14:solidFill>
          </w14:textFill>
        </w:rPr>
        <w:t>专委会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委员</w:t>
      </w:r>
      <w:r>
        <w:rPr>
          <w:rFonts w:hint="eastAsia" w:ascii="仿宋_GB2312" w:hAnsi="仿宋_GB2312" w:eastAsia="仿宋_GB2312" w:cs="仿宋_GB2312"/>
          <w:color w:val="000000" w:themeColor="text1"/>
          <w:sz w:val="32"/>
          <w:szCs w:val="32"/>
          <w14:textFill>
            <w14:solidFill>
              <w14:schemeClr w14:val="tx1"/>
            </w14:solidFill>
          </w14:textFill>
        </w:rPr>
        <w:t>由学院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及相关部门</w:t>
      </w:r>
      <w:r>
        <w:rPr>
          <w:rFonts w:hint="eastAsia" w:ascii="仿宋_GB2312" w:hAnsi="仿宋_GB2312" w:eastAsia="仿宋_GB2312" w:cs="仿宋_GB2312"/>
          <w:color w:val="000000" w:themeColor="text1"/>
          <w:sz w:val="32"/>
          <w:szCs w:val="32"/>
          <w14:textFill>
            <w14:solidFill>
              <w14:schemeClr w14:val="tx1"/>
            </w14:solidFill>
          </w14:textFill>
        </w:rPr>
        <w:t>领导、系主任、各学科（专业）带头人、行业企业专家及院外其它有关专家组成。院</w:t>
      </w:r>
      <w:r>
        <w:rPr>
          <w:rFonts w:hint="eastAsia" w:ascii="仿宋_GB2312" w:hAnsi="仿宋_GB2312" w:eastAsia="仿宋_GB2312" w:cs="仿宋_GB2312"/>
          <w:color w:val="333333"/>
          <w:kern w:val="0"/>
          <w:sz w:val="32"/>
          <w:szCs w:val="32"/>
        </w:rPr>
        <w:t>外专家要求副高以上职称。</w:t>
      </w:r>
      <w:r>
        <w:rPr>
          <w:rFonts w:hint="eastAsia" w:ascii="仿宋_GB2312" w:hAnsi="仿宋_GB2312" w:eastAsia="仿宋_GB2312" w:cs="仿宋_GB2312"/>
          <w:color w:val="auto"/>
          <w:kern w:val="0"/>
          <w:sz w:val="32"/>
          <w:szCs w:val="32"/>
          <w:u w:val="none"/>
        </w:rPr>
        <w:t>委员由系推荐，教务处审核，主管院长审批，由院长颁发聘书</w:t>
      </w:r>
      <w:r>
        <w:rPr>
          <w:rFonts w:hint="eastAsia" w:ascii="仿宋_GB2312" w:hAnsi="仿宋_GB2312" w:eastAsia="仿宋_GB2312" w:cs="仿宋_GB2312"/>
          <w:color w:val="333333"/>
          <w:kern w:val="0"/>
          <w:sz w:val="32"/>
          <w:szCs w:val="32"/>
        </w:rPr>
        <w:t>。</w:t>
      </w:r>
    </w:p>
    <w:p>
      <w:pPr>
        <w:keepNext w:val="0"/>
        <w:keepLines w:val="0"/>
        <w:pageBreakBefore w:val="0"/>
        <w:widowControl/>
        <w:tabs>
          <w:tab w:val="left" w:pos="8460"/>
        </w:tabs>
        <w:kinsoku/>
        <w:wordWrap/>
        <w:overflowPunct/>
        <w:topLinePunct w:val="0"/>
        <w:autoSpaceDE/>
        <w:autoSpaceDN/>
        <w:bidi w:val="0"/>
        <w:spacing w:beforeAutospacing="0" w:afterAutospacing="0" w:line="560" w:lineRule="exact"/>
        <w:ind w:right="28" w:firstLine="643"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 xml:space="preserve">第五条 </w:t>
      </w:r>
      <w:r>
        <w:rPr>
          <w:rFonts w:hint="eastAsia" w:ascii="仿宋_GB2312" w:hAnsi="仿宋_GB2312" w:eastAsia="仿宋_GB2312" w:cs="仿宋_GB2312"/>
          <w:color w:val="333333"/>
          <w:kern w:val="0"/>
          <w:sz w:val="32"/>
          <w:szCs w:val="32"/>
        </w:rPr>
        <w:t>委员每届任</w:t>
      </w:r>
      <w:r>
        <w:rPr>
          <w:rFonts w:hint="eastAsia" w:ascii="仿宋_GB2312" w:hAnsi="仿宋_GB2312" w:eastAsia="仿宋_GB2312" w:cs="仿宋_GB2312"/>
          <w:color w:val="auto"/>
          <w:kern w:val="0"/>
          <w:sz w:val="32"/>
          <w:szCs w:val="32"/>
        </w:rPr>
        <w:t>期四</w:t>
      </w:r>
      <w:r>
        <w:rPr>
          <w:rFonts w:hint="eastAsia" w:ascii="仿宋_GB2312" w:hAnsi="仿宋_GB2312" w:eastAsia="仿宋_GB2312" w:cs="仿宋_GB2312"/>
          <w:color w:val="333333"/>
          <w:kern w:val="0"/>
          <w:sz w:val="32"/>
          <w:szCs w:val="32"/>
        </w:rPr>
        <w:t>年，可连聘、连任、补聘或中途解聘。</w:t>
      </w:r>
    </w:p>
    <w:p>
      <w:pPr>
        <w:pStyle w:val="7"/>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仿宋_GB2312" w:eastAsia="仿宋_GB2312" w:cs="仿宋_GB2312"/>
          <w:color w:val="336699"/>
          <w:sz w:val="32"/>
          <w:szCs w:val="32"/>
          <w:u w:val="single"/>
        </w:rPr>
      </w:pPr>
      <w:r>
        <w:rPr>
          <w:rFonts w:hint="eastAsia" w:ascii="仿宋_GB2312" w:hAnsi="仿宋_GB2312" w:eastAsia="仿宋_GB2312" w:cs="仿宋_GB2312"/>
          <w:b/>
          <w:bCs/>
          <w:color w:val="000000" w:themeColor="text1"/>
          <w:sz w:val="32"/>
          <w:szCs w:val="32"/>
          <w14:textFill>
            <w14:solidFill>
              <w14:schemeClr w14:val="tx1"/>
            </w14:solidFill>
          </w14:textFill>
        </w:rPr>
        <w:t>第六条</w:t>
      </w:r>
      <w:r>
        <w:rPr>
          <w:rFonts w:hint="eastAsia" w:ascii="仿宋_GB2312" w:hAnsi="仿宋_GB2312" w:eastAsia="仿宋_GB2312" w:cs="仿宋_GB2312"/>
          <w:color w:val="333333"/>
          <w:sz w:val="32"/>
          <w:szCs w:val="32"/>
          <w:u w:val="none"/>
        </w:rPr>
        <w:t xml:space="preserve"> 设立院系两级专委会。</w:t>
      </w:r>
      <w:r>
        <w:rPr>
          <w:rFonts w:hint="eastAsia" w:ascii="仿宋_GB2312" w:hAnsi="仿宋_GB2312" w:eastAsia="仿宋_GB2312" w:cs="仿宋_GB2312"/>
          <w:color w:val="333333"/>
          <w:sz w:val="32"/>
          <w:szCs w:val="32"/>
        </w:rPr>
        <w:t>各系以专业群为单位建立专委会，每个专委会由5-7人组成，由系主任任主任，并吸收</w:t>
      </w:r>
      <w:r>
        <w:rPr>
          <w:rFonts w:hint="eastAsia" w:ascii="仿宋_GB2312" w:hAnsi="仿宋_GB2312" w:eastAsia="仿宋_GB2312" w:cs="仿宋_GB2312"/>
          <w:color w:val="000000" w:themeColor="text1"/>
          <w:sz w:val="32"/>
          <w:szCs w:val="32"/>
          <w14:textFill>
            <w14:solidFill>
              <w14:schemeClr w14:val="tx1"/>
            </w14:solidFill>
          </w14:textFill>
        </w:rPr>
        <w:t>院</w:t>
      </w:r>
      <w:r>
        <w:rPr>
          <w:rFonts w:hint="eastAsia" w:ascii="仿宋_GB2312" w:hAnsi="仿宋_GB2312" w:eastAsia="仿宋_GB2312" w:cs="仿宋_GB2312"/>
          <w:color w:val="333333"/>
          <w:sz w:val="32"/>
          <w:szCs w:val="32"/>
        </w:rPr>
        <w:t>外与本系专业方向有关的专家1-2人参加。</w:t>
      </w:r>
    </w:p>
    <w:p>
      <w:pPr>
        <w:pStyle w:val="7"/>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 xml:space="preserve"> 学院给予委员会一定的经费投入，保证委员会工作正常进行。</w:t>
      </w:r>
    </w:p>
    <w:p>
      <w:pPr>
        <w:keepNext w:val="0"/>
        <w:keepLines w:val="0"/>
        <w:pageBreakBefore w:val="0"/>
        <w:kinsoku/>
        <w:wordWrap/>
        <w:overflowPunct/>
        <w:topLinePunct w:val="0"/>
        <w:autoSpaceDE/>
        <w:autoSpaceDN/>
        <w:bidi w:val="0"/>
        <w:adjustRightInd/>
        <w:snapToGrid w:val="0"/>
        <w:spacing w:line="560" w:lineRule="exact"/>
        <w:ind w:firstLine="640" w:firstLineChars="200"/>
        <w:jc w:val="center"/>
        <w:textAlignment w:val="auto"/>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第三章</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职责</w:t>
      </w:r>
    </w:p>
    <w:p>
      <w:pPr>
        <w:pStyle w:val="7"/>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000000" w:themeColor="text1"/>
          <w:sz w:val="32"/>
          <w:szCs w:val="32"/>
          <w14:textFill>
            <w14:solidFill>
              <w14:schemeClr w14:val="tx1"/>
            </w14:solidFill>
          </w14:textFill>
        </w:rPr>
        <w:t>第八条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val="en-US" w:eastAsia="zh-CN"/>
        </w:rPr>
        <w:t>研究学院专业布局和专业设置，审议专业群组建与调整方案，依据高端产业和产业高端的发展趋势及区域产业对人才的实际需求，提出专业动态</w:t>
      </w:r>
      <w:r>
        <w:rPr>
          <w:rFonts w:hint="eastAsia" w:ascii="仿宋_GB2312" w:hAnsi="仿宋_GB2312" w:eastAsia="仿宋_GB2312" w:cs="仿宋_GB2312"/>
          <w:color w:val="auto"/>
          <w:sz w:val="32"/>
          <w:szCs w:val="32"/>
          <w:lang w:val="en-US" w:eastAsia="zh-CN"/>
        </w:rPr>
        <w:t>调整方案建议。</w:t>
      </w:r>
    </w:p>
    <w:p>
      <w:pPr>
        <w:pStyle w:val="7"/>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第九条 </w:t>
      </w:r>
      <w:r>
        <w:rPr>
          <w:rFonts w:hint="eastAsia" w:ascii="仿宋_GB2312" w:hAnsi="仿宋_GB2312" w:eastAsia="仿宋_GB2312" w:cs="仿宋_GB2312"/>
          <w:color w:val="auto"/>
          <w:sz w:val="32"/>
          <w:szCs w:val="32"/>
          <w:lang w:val="en-US" w:eastAsia="zh-CN"/>
        </w:rPr>
        <w:t>研究审议专业</w:t>
      </w:r>
      <w:r>
        <w:rPr>
          <w:rFonts w:hint="eastAsia" w:ascii="仿宋_GB2312" w:hAnsi="仿宋_GB2312" w:eastAsia="仿宋_GB2312" w:cs="仿宋_GB2312"/>
          <w:color w:val="auto"/>
          <w:sz w:val="32"/>
          <w:szCs w:val="32"/>
        </w:rPr>
        <w:t>人才培养方案和</w:t>
      </w:r>
      <w:r>
        <w:rPr>
          <w:rFonts w:hint="eastAsia" w:ascii="仿宋_GB2312" w:hAnsi="仿宋_GB2312" w:eastAsia="仿宋_GB2312" w:cs="仿宋_GB2312"/>
          <w:color w:val="auto"/>
          <w:sz w:val="32"/>
          <w:szCs w:val="32"/>
          <w:lang w:val="en-US" w:eastAsia="zh-CN"/>
        </w:rPr>
        <w:t>课程标准</w:t>
      </w:r>
      <w:r>
        <w:rPr>
          <w:rFonts w:hint="eastAsia" w:ascii="仿宋_GB2312" w:hAnsi="仿宋_GB2312" w:eastAsia="仿宋_GB2312" w:cs="仿宋_GB2312"/>
          <w:color w:val="auto"/>
          <w:sz w:val="32"/>
          <w:szCs w:val="32"/>
        </w:rPr>
        <w:t>，指导专业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学科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教学改革，对课程体系建设、课程资源建设和教学团队建设规划进行审议并指导实施。</w:t>
      </w:r>
    </w:p>
    <w:p>
      <w:pPr>
        <w:pStyle w:val="7"/>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完善专业群建设机制、优化专业群建设结构布局、推进专业课程体系建设、打造优秀教学团队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提出人才培养目标、人才培养模式、专业设置、专业群布局的建议、意见和发展规划。负责新设置专业的论证，为每年各专业制定招生计划提供意见。</w:t>
      </w:r>
    </w:p>
    <w:p>
      <w:pPr>
        <w:pStyle w:val="7"/>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第十条</w:t>
      </w:r>
      <w:r>
        <w:rPr>
          <w:rFonts w:hint="eastAsia" w:ascii="仿宋_GB2312" w:hAnsi="仿宋_GB2312" w:eastAsia="仿宋_GB2312" w:cs="仿宋_GB2312"/>
          <w:color w:val="auto"/>
          <w:sz w:val="32"/>
          <w:szCs w:val="32"/>
        </w:rPr>
        <w:t xml:space="preserve"> 制定学院自编教材规划，指导自编教材的编审和评价工作，对教材的选用提出意见和建议。</w:t>
      </w:r>
    </w:p>
    <w:p>
      <w:pPr>
        <w:pStyle w:val="7"/>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定期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组织召开</w:t>
      </w:r>
      <w:r>
        <w:rPr>
          <w:rFonts w:hint="eastAsia" w:ascii="仿宋_GB2312" w:hAnsi="仿宋_GB2312" w:eastAsia="仿宋_GB2312" w:cs="仿宋_GB2312"/>
          <w:color w:val="000000" w:themeColor="text1"/>
          <w:sz w:val="32"/>
          <w:szCs w:val="32"/>
          <w14:textFill>
            <w14:solidFill>
              <w14:schemeClr w14:val="tx1"/>
            </w14:solidFill>
          </w14:textFill>
        </w:rPr>
        <w:t>专业教学咨询研讨会，研究讨论行业和企业对专业设置、人才培养模式、课程设置、教学内容、实践教学、专业教学改革等方面的意见和建议，研究提出改进措施。</w:t>
      </w:r>
    </w:p>
    <w:p>
      <w:pPr>
        <w:keepNext w:val="0"/>
        <w:keepLines w:val="0"/>
        <w:pageBreakBefore w:val="0"/>
        <w:widowControl/>
        <w:tabs>
          <w:tab w:val="left" w:pos="8460"/>
        </w:tabs>
        <w:kinsoku/>
        <w:wordWrap/>
        <w:overflowPunct/>
        <w:topLinePunct w:val="0"/>
        <w:autoSpaceDE/>
        <w:autoSpaceDN/>
        <w:bidi w:val="0"/>
        <w:spacing w:beforeAutospacing="0" w:afterAutospacing="0" w:line="560" w:lineRule="exact"/>
        <w:ind w:right="28" w:firstLine="643"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第十二条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监督专业教学质量，定期深入课堂听课，了解教师授课和学生学习的情况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提出改进课堂教学的意见，研究解决教学中存在的问题。</w:t>
      </w:r>
    </w:p>
    <w:p>
      <w:pPr>
        <w:keepNext w:val="0"/>
        <w:keepLines w:val="0"/>
        <w:pageBreakBefore w:val="0"/>
        <w:widowControl/>
        <w:tabs>
          <w:tab w:val="left" w:pos="8460"/>
        </w:tabs>
        <w:kinsoku/>
        <w:wordWrap/>
        <w:overflowPunct/>
        <w:topLinePunct w:val="0"/>
        <w:autoSpaceDE/>
        <w:autoSpaceDN/>
        <w:bidi w:val="0"/>
        <w:spacing w:beforeAutospacing="0" w:afterAutospacing="0" w:line="560" w:lineRule="exact"/>
        <w:ind w:right="28" w:firstLine="643"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第十三条</w:t>
      </w:r>
      <w:r>
        <w:rPr>
          <w:rFonts w:hint="eastAsia" w:ascii="仿宋_GB2312" w:hAnsi="仿宋_GB2312" w:eastAsia="仿宋_GB2312" w:cs="仿宋_GB2312"/>
          <w:color w:val="333333"/>
          <w:kern w:val="0"/>
          <w:sz w:val="32"/>
          <w:szCs w:val="32"/>
        </w:rPr>
        <w:t xml:space="preserve"> 指导校内外实</w:t>
      </w:r>
      <w:r>
        <w:rPr>
          <w:rFonts w:hint="eastAsia" w:ascii="仿宋_GB2312" w:hAnsi="仿宋_GB2312" w:eastAsia="仿宋_GB2312" w:cs="仿宋_GB2312"/>
          <w:color w:val="333333"/>
          <w:kern w:val="0"/>
          <w:sz w:val="32"/>
          <w:szCs w:val="32"/>
          <w:lang w:val="en-US" w:eastAsia="zh-CN"/>
        </w:rPr>
        <w:t>习</w:t>
      </w:r>
      <w:r>
        <w:rPr>
          <w:rFonts w:hint="eastAsia" w:ascii="仿宋_GB2312" w:hAnsi="仿宋_GB2312" w:eastAsia="仿宋_GB2312" w:cs="仿宋_GB2312"/>
          <w:color w:val="333333"/>
          <w:kern w:val="0"/>
          <w:sz w:val="32"/>
          <w:szCs w:val="32"/>
        </w:rPr>
        <w:t>实训基地建设，推荐</w:t>
      </w:r>
      <w:r>
        <w:rPr>
          <w:rFonts w:hint="eastAsia" w:ascii="仿宋_GB2312" w:hAnsi="仿宋_GB2312" w:eastAsia="仿宋_GB2312" w:cs="仿宋_GB2312"/>
          <w:color w:val="333333"/>
          <w:kern w:val="0"/>
          <w:sz w:val="32"/>
          <w:szCs w:val="32"/>
          <w:lang w:val="en-US" w:eastAsia="zh-CN"/>
        </w:rPr>
        <w:t>优秀专业</w:t>
      </w:r>
      <w:r>
        <w:rPr>
          <w:rFonts w:hint="eastAsia" w:ascii="仿宋_GB2312" w:hAnsi="仿宋_GB2312" w:eastAsia="仿宋_GB2312" w:cs="仿宋_GB2312"/>
          <w:color w:val="333333"/>
          <w:kern w:val="0"/>
          <w:sz w:val="32"/>
          <w:szCs w:val="32"/>
        </w:rPr>
        <w:t>技术人员到学院讲课</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讲座，协调工学结合、校企合作。</w:t>
      </w:r>
    </w:p>
    <w:p>
      <w:pPr>
        <w:keepNext w:val="0"/>
        <w:keepLines w:val="0"/>
        <w:pageBreakBefore w:val="0"/>
        <w:widowControl/>
        <w:tabs>
          <w:tab w:val="left" w:pos="8460"/>
        </w:tabs>
        <w:kinsoku/>
        <w:wordWrap/>
        <w:overflowPunct/>
        <w:topLinePunct w:val="0"/>
        <w:autoSpaceDE/>
        <w:autoSpaceDN/>
        <w:bidi w:val="0"/>
        <w:spacing w:beforeAutospacing="0" w:afterAutospacing="0" w:line="560" w:lineRule="exact"/>
        <w:ind w:right="28" w:firstLine="643"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第十四条</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auto"/>
          <w:kern w:val="0"/>
          <w:sz w:val="32"/>
          <w:szCs w:val="32"/>
        </w:rPr>
        <w:t>指导毕业设计的选题工作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为毕业生提供就业信息及就业指导。</w:t>
      </w:r>
    </w:p>
    <w:p>
      <w:pPr>
        <w:keepNext w:val="0"/>
        <w:keepLines w:val="0"/>
        <w:pageBreakBefore w:val="0"/>
        <w:widowControl/>
        <w:tabs>
          <w:tab w:val="left" w:pos="8460"/>
        </w:tabs>
        <w:kinsoku/>
        <w:wordWrap/>
        <w:overflowPunct/>
        <w:topLinePunct w:val="0"/>
        <w:autoSpaceDE/>
        <w:autoSpaceDN/>
        <w:bidi w:val="0"/>
        <w:spacing w:beforeAutospacing="0" w:afterAutospacing="0" w:line="560" w:lineRule="exact"/>
        <w:ind w:right="28" w:firstLine="643"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第十五条</w:t>
      </w:r>
      <w:r>
        <w:rPr>
          <w:rFonts w:hint="eastAsia" w:ascii="仿宋_GB2312" w:hAnsi="仿宋_GB2312" w:eastAsia="仿宋_GB2312" w:cs="仿宋_GB2312"/>
          <w:color w:val="333333"/>
          <w:kern w:val="0"/>
          <w:sz w:val="32"/>
          <w:szCs w:val="32"/>
        </w:rPr>
        <w:t xml:space="preserve"> 完成学院委托的其他工作。 </w:t>
      </w:r>
    </w:p>
    <w:p>
      <w:pPr>
        <w:keepNext w:val="0"/>
        <w:keepLines w:val="0"/>
        <w:pageBreakBefore w:val="0"/>
        <w:kinsoku/>
        <w:wordWrap/>
        <w:overflowPunct/>
        <w:topLinePunct w:val="0"/>
        <w:autoSpaceDE/>
        <w:autoSpaceDN/>
        <w:bidi w:val="0"/>
        <w:adjustRightInd/>
        <w:snapToGrid w:val="0"/>
        <w:spacing w:line="560" w:lineRule="exact"/>
        <w:ind w:firstLine="640" w:firstLineChars="200"/>
        <w:jc w:val="center"/>
        <w:textAlignment w:val="auto"/>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第四章</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工作制度</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3" w:firstLineChars="200"/>
        <w:jc w:val="left"/>
        <w:textAlignment w:val="auto"/>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第十六条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委员会全体会议每学期至少召开一次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根据工作需要，可随时召开全体会议或者专题会议，也</w:t>
      </w:r>
      <w:r>
        <w:rPr>
          <w:rFonts w:hint="eastAsia" w:ascii="仿宋_GB2312" w:hAnsi="仿宋_GB2312" w:eastAsia="仿宋_GB2312" w:cs="仿宋_GB2312"/>
          <w:color w:val="000000" w:themeColor="text1"/>
          <w:kern w:val="0"/>
          <w:sz w:val="32"/>
          <w:szCs w:val="32"/>
          <w14:textFill>
            <w14:solidFill>
              <w14:schemeClr w14:val="tx1"/>
            </w14:solidFill>
          </w14:textFill>
        </w:rPr>
        <w:t>可适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当</w:t>
      </w:r>
      <w:r>
        <w:rPr>
          <w:rFonts w:hint="eastAsia" w:ascii="仿宋_GB2312" w:hAnsi="仿宋_GB2312" w:eastAsia="仿宋_GB2312" w:cs="仿宋_GB2312"/>
          <w:color w:val="000000" w:themeColor="text1"/>
          <w:kern w:val="0"/>
          <w:sz w:val="32"/>
          <w:szCs w:val="32"/>
          <w14:textFill>
            <w14:solidFill>
              <w14:schemeClr w14:val="tx1"/>
            </w14:solidFill>
          </w14:textFill>
        </w:rPr>
        <w:t>扩大参加会议的人员范围。</w:t>
      </w:r>
      <w:r>
        <w:rPr>
          <w:rFonts w:hint="eastAsia" w:ascii="仿宋_GB2312" w:hAnsi="仿宋_GB2312" w:eastAsia="仿宋_GB2312" w:cs="仿宋_GB2312"/>
          <w:color w:val="000000" w:themeColor="text1"/>
          <w:sz w:val="32"/>
          <w:szCs w:val="32"/>
          <w14:textFill>
            <w14:solidFill>
              <w14:schemeClr w14:val="tx1"/>
            </w14:solidFill>
          </w14:textFill>
        </w:rPr>
        <w:t>会前要进行认真准备，要提前送达会议资料，委员们要认真研究会议资料，准备发言提纲，以确保议事质量，会后应印发会议纪要。</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3" w:firstLineChars="200"/>
        <w:jc w:val="left"/>
        <w:textAlignment w:val="auto"/>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 xml:space="preserve">第十七条 </w:t>
      </w:r>
      <w:r>
        <w:rPr>
          <w:rFonts w:hint="eastAsia" w:ascii="仿宋_GB2312" w:hAnsi="仿宋_GB2312" w:eastAsia="仿宋_GB2312" w:cs="仿宋_GB2312"/>
          <w:snapToGrid w:val="0"/>
          <w:color w:val="000000" w:themeColor="text1"/>
          <w:sz w:val="32"/>
          <w:szCs w:val="32"/>
          <w14:textFill>
            <w14:solidFill>
              <w14:schemeClr w14:val="tx1"/>
            </w14:solidFill>
          </w14:textFill>
        </w:rPr>
        <w:t>会议原则上由主任委员召集，主任委员因故不能召集的，可委托副主任委员召集。委员原则上必须参加会议，因故不能出席会议的需事先向主任委员请假，可委派代表出席会议。</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3"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第十八条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全体委员</w:t>
      </w:r>
      <w:r>
        <w:rPr>
          <w:rFonts w:hint="eastAsia" w:ascii="仿宋_GB2312" w:hAnsi="仿宋_GB2312" w:eastAsia="仿宋_GB2312" w:cs="仿宋_GB2312"/>
          <w:snapToGrid w:val="0"/>
          <w:color w:val="000000" w:themeColor="text1"/>
          <w:sz w:val="32"/>
          <w:szCs w:val="32"/>
          <w14:textFill>
            <w14:solidFill>
              <w14:schemeClr w14:val="tx1"/>
            </w14:solidFill>
          </w14:textFill>
        </w:rPr>
        <w:t>会议</w:t>
      </w:r>
      <w:r>
        <w:rPr>
          <w:rFonts w:hint="eastAsia" w:ascii="仿宋_GB2312" w:hAnsi="仿宋_GB2312" w:eastAsia="仿宋_GB2312" w:cs="仿宋_GB2312"/>
          <w:color w:val="000000" w:themeColor="text1"/>
          <w:sz w:val="32"/>
          <w:szCs w:val="32"/>
          <w14:textFill>
            <w14:solidFill>
              <w14:schemeClr w14:val="tx1"/>
            </w14:solidFill>
          </w14:textFill>
        </w:rPr>
        <w:t>讨论决定问题可以采用议决制或者表决制。表决可以采取举手表决或者无记名投票表决的方式进行。委员会做出的决议，必须有不少于三分之二的委员参加会议并得到应到会委员半数以上同意方为有效。</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第十九条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委员会</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秘书处设在</w:t>
      </w:r>
      <w:r>
        <w:rPr>
          <w:rFonts w:hint="eastAsia" w:ascii="仿宋_GB2312" w:hAnsi="仿宋_GB2312" w:eastAsia="仿宋_GB2312" w:cs="仿宋_GB2312"/>
          <w:color w:val="000000" w:themeColor="text1"/>
          <w:kern w:val="0"/>
          <w:sz w:val="32"/>
          <w:szCs w:val="32"/>
          <w14:textFill>
            <w14:solidFill>
              <w14:schemeClr w14:val="tx1"/>
            </w14:solidFill>
          </w14:textFill>
        </w:rPr>
        <w:t>教务处，处理日常工作，教务处长任</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秘书长</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第二十条</w:t>
      </w:r>
      <w:r>
        <w:rPr>
          <w:rFonts w:hint="eastAsia" w:ascii="仿宋_GB2312" w:hAnsi="仿宋_GB2312" w:eastAsia="仿宋_GB2312" w:cs="仿宋_GB2312"/>
          <w:color w:val="000000" w:themeColor="text1"/>
          <w:sz w:val="32"/>
          <w:szCs w:val="32"/>
          <w14:textFill>
            <w14:solidFill>
              <w14:schemeClr w14:val="tx1"/>
            </w14:solidFill>
          </w14:textFill>
        </w:rPr>
        <w:t xml:space="preserve"> 委员会工作应做到制度化、经常化、规范化，年度和学期有工作计划，期末和年底有工作总结。</w:t>
      </w:r>
    </w:p>
    <w:p>
      <w:pPr>
        <w:keepNext w:val="0"/>
        <w:keepLines w:val="0"/>
        <w:pageBreakBefore w:val="0"/>
        <w:widowControl/>
        <w:tabs>
          <w:tab w:val="left" w:pos="8460"/>
        </w:tabs>
        <w:kinsoku/>
        <w:wordWrap/>
        <w:overflowPunct/>
        <w:topLinePunct w:val="0"/>
        <w:autoSpaceDE/>
        <w:autoSpaceDN/>
        <w:bidi w:val="0"/>
        <w:spacing w:beforeAutospacing="0" w:afterAutospacing="0" w:line="560" w:lineRule="exact"/>
        <w:ind w:right="28" w:firstLine="643" w:firstLineChars="200"/>
        <w:jc w:val="left"/>
        <w:textAlignment w:val="auto"/>
        <w:rPr>
          <w:rFonts w:hint="eastAsia" w:ascii="仿宋_GB2312" w:hAnsi="仿宋_GB2312" w:eastAsia="仿宋_GB2312" w:cs="仿宋_GB2312"/>
          <w:b/>
          <w:color w:val="333333"/>
          <w:kern w:val="0"/>
          <w:sz w:val="32"/>
          <w:szCs w:val="32"/>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第二十一条</w:t>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lang w:val="en-US" w:eastAsia="zh-CN"/>
        </w:rPr>
        <w:t>校外受聘委员及其所在单位可协商利用学院设备和教学资源开展科研和培训工作，并可</w:t>
      </w:r>
      <w:r>
        <w:rPr>
          <w:rFonts w:hint="eastAsia" w:ascii="仿宋_GB2312" w:hAnsi="仿宋_GB2312" w:eastAsia="仿宋_GB2312" w:cs="仿宋_GB2312"/>
          <w:color w:val="333333"/>
          <w:kern w:val="0"/>
          <w:sz w:val="32"/>
          <w:szCs w:val="32"/>
        </w:rPr>
        <w:t>优先</w:t>
      </w:r>
      <w:r>
        <w:rPr>
          <w:rFonts w:hint="eastAsia" w:ascii="仿宋_GB2312" w:hAnsi="仿宋_GB2312" w:eastAsia="仿宋_GB2312" w:cs="仿宋_GB2312"/>
          <w:color w:val="333333"/>
          <w:kern w:val="0"/>
          <w:sz w:val="32"/>
          <w:szCs w:val="32"/>
          <w:lang w:val="en-US" w:eastAsia="zh-CN"/>
        </w:rPr>
        <w:t>选聘</w:t>
      </w:r>
      <w:r>
        <w:rPr>
          <w:rFonts w:hint="eastAsia" w:ascii="仿宋_GB2312" w:hAnsi="仿宋_GB2312" w:eastAsia="仿宋_GB2312" w:cs="仿宋_GB2312"/>
          <w:color w:val="333333"/>
          <w:kern w:val="0"/>
          <w:sz w:val="32"/>
          <w:szCs w:val="32"/>
        </w:rPr>
        <w:t>毕业生</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根据</w:t>
      </w:r>
      <w:r>
        <w:rPr>
          <w:rFonts w:hint="eastAsia" w:ascii="仿宋_GB2312" w:hAnsi="仿宋_GB2312" w:eastAsia="仿宋_GB2312" w:cs="仿宋_GB2312"/>
          <w:color w:val="333333"/>
          <w:kern w:val="0"/>
          <w:sz w:val="32"/>
          <w:szCs w:val="32"/>
          <w:lang w:val="en-US" w:eastAsia="zh-CN"/>
        </w:rPr>
        <w:t>委员</w:t>
      </w:r>
      <w:r>
        <w:rPr>
          <w:rFonts w:hint="eastAsia" w:ascii="仿宋_GB2312" w:hAnsi="仿宋_GB2312" w:eastAsia="仿宋_GB2312" w:cs="仿宋_GB2312"/>
          <w:color w:val="333333"/>
          <w:kern w:val="0"/>
          <w:sz w:val="32"/>
          <w:szCs w:val="32"/>
        </w:rPr>
        <w:t>工作实绩，每年给予受聘委员适当的工作津贴。</w:t>
      </w:r>
    </w:p>
    <w:p>
      <w:pPr>
        <w:keepNext w:val="0"/>
        <w:keepLines w:val="0"/>
        <w:pageBreakBefore w:val="0"/>
        <w:kinsoku/>
        <w:wordWrap/>
        <w:overflowPunct/>
        <w:topLinePunct w:val="0"/>
        <w:autoSpaceDE/>
        <w:autoSpaceDN/>
        <w:bidi w:val="0"/>
        <w:adjustRightInd/>
        <w:snapToGrid w:val="0"/>
        <w:spacing w:line="560" w:lineRule="exact"/>
        <w:ind w:firstLine="640" w:firstLineChars="200"/>
        <w:jc w:val="center"/>
        <w:textAlignment w:val="auto"/>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五</w:t>
      </w:r>
      <w:r>
        <w:rPr>
          <w:rFonts w:hint="eastAsia" w:ascii="Times New Roman" w:hAnsi="Times New Roman" w:eastAsia="黑体" w:cs="Times New Roman"/>
          <w:sz w:val="32"/>
          <w:szCs w:val="32"/>
        </w:rPr>
        <w:t>章 附则</w:t>
      </w:r>
    </w:p>
    <w:p>
      <w:pPr>
        <w:keepNext w:val="0"/>
        <w:keepLines w:val="0"/>
        <w:pageBreakBefore w:val="0"/>
        <w:widowControl/>
        <w:tabs>
          <w:tab w:val="left" w:pos="8460"/>
        </w:tabs>
        <w:kinsoku/>
        <w:wordWrap/>
        <w:overflowPunct/>
        <w:topLinePunct w:val="0"/>
        <w:autoSpaceDE/>
        <w:autoSpaceDN/>
        <w:bidi w:val="0"/>
        <w:spacing w:beforeAutospacing="0" w:afterAutospacing="0" w:line="560" w:lineRule="exact"/>
        <w:ind w:right="28" w:firstLine="643"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第二十二条</w:t>
      </w:r>
      <w:r>
        <w:rPr>
          <w:rFonts w:hint="eastAsia" w:ascii="仿宋_GB2312" w:hAnsi="仿宋_GB2312" w:eastAsia="仿宋_GB2312" w:cs="仿宋_GB2312"/>
          <w:color w:val="333333"/>
          <w:kern w:val="0"/>
          <w:sz w:val="32"/>
          <w:szCs w:val="32"/>
        </w:rPr>
        <w:t xml:space="preserve"> 本章程</w:t>
      </w:r>
      <w:r>
        <w:rPr>
          <w:rFonts w:hint="eastAsia" w:ascii="仿宋_GB2312" w:hAnsi="仿宋_GB2312" w:eastAsia="仿宋_GB2312" w:cs="仿宋_GB2312"/>
          <w:color w:val="333333"/>
          <w:kern w:val="0"/>
          <w:sz w:val="32"/>
          <w:szCs w:val="32"/>
          <w:lang w:val="en-US" w:eastAsia="zh-CN"/>
        </w:rPr>
        <w:t>由专业建设指导委员会秘书处负责解释</w:t>
      </w:r>
      <w:r>
        <w:rPr>
          <w:rFonts w:hint="eastAsia" w:ascii="仿宋_GB2312" w:hAnsi="仿宋_GB2312" w:eastAsia="仿宋_GB2312" w:cs="仿宋_GB2312"/>
          <w:color w:val="333333"/>
          <w:kern w:val="0"/>
          <w:sz w:val="32"/>
          <w:szCs w:val="32"/>
        </w:rPr>
        <w:t>。</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第二十三条</w:t>
      </w:r>
      <w:r>
        <w:rPr>
          <w:rFonts w:hint="eastAsia" w:ascii="仿宋_GB2312" w:hAnsi="仿宋_GB2312" w:eastAsia="仿宋_GB2312" w:cs="仿宋_GB2312"/>
          <w:color w:val="333333"/>
          <w:kern w:val="0"/>
          <w:sz w:val="32"/>
          <w:szCs w:val="32"/>
        </w:rPr>
        <w:t xml:space="preserve"> 本章程自公布之日起生效。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Calibri" w:hAnsi="Calibri" w:eastAsia="宋体" w:cs="Times New Roman"/>
                              <w:sz w:val="32"/>
                              <w:szCs w:val="32"/>
                            </w:rPr>
                          </w:pPr>
                          <w:r>
                            <w:rPr>
                              <w:rFonts w:ascii="Calibri" w:hAnsi="Calibri" w:eastAsia="宋体" w:cs="Times New Roman"/>
                              <w:sz w:val="32"/>
                              <w:szCs w:val="32"/>
                            </w:rPr>
                            <w:t xml:space="preserve">— </w:t>
                          </w:r>
                          <w:r>
                            <w:rPr>
                              <w:rFonts w:ascii="Calibri" w:hAnsi="Calibri" w:eastAsia="宋体" w:cs="Times New Roman"/>
                              <w:sz w:val="32"/>
                              <w:szCs w:val="32"/>
                            </w:rPr>
                            <w:fldChar w:fldCharType="begin"/>
                          </w:r>
                          <w:r>
                            <w:rPr>
                              <w:rFonts w:ascii="Calibri" w:hAnsi="Calibri" w:eastAsia="宋体" w:cs="Times New Roman"/>
                              <w:sz w:val="32"/>
                              <w:szCs w:val="32"/>
                            </w:rPr>
                            <w:instrText xml:space="preserve"> PAGE  \* MERGEFORMAT </w:instrText>
                          </w:r>
                          <w:r>
                            <w:rPr>
                              <w:rFonts w:ascii="Calibri" w:hAnsi="Calibri" w:eastAsia="宋体" w:cs="Times New Roman"/>
                              <w:sz w:val="32"/>
                              <w:szCs w:val="32"/>
                            </w:rPr>
                            <w:fldChar w:fldCharType="separate"/>
                          </w:r>
                          <w:r>
                            <w:rPr>
                              <w:rFonts w:ascii="Calibri" w:hAnsi="Calibri" w:eastAsia="宋体" w:cs="Times New Roman"/>
                              <w:sz w:val="32"/>
                              <w:szCs w:val="32"/>
                            </w:rPr>
                            <w:t>1</w:t>
                          </w:r>
                          <w:r>
                            <w:rPr>
                              <w:rFonts w:ascii="Calibri" w:hAnsi="Calibri" w:eastAsia="宋体" w:cs="Times New Roman"/>
                              <w:sz w:val="32"/>
                              <w:szCs w:val="32"/>
                            </w:rPr>
                            <w:fldChar w:fldCharType="end"/>
                          </w:r>
                          <w:r>
                            <w:rPr>
                              <w:rFonts w:ascii="Calibri" w:hAnsi="Calibri" w:eastAsia="宋体" w:cs="Times New Roman"/>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5"/>
                      <w:rPr>
                        <w:rFonts w:ascii="Calibri" w:hAnsi="Calibri" w:eastAsia="宋体" w:cs="Times New Roman"/>
                        <w:sz w:val="32"/>
                        <w:szCs w:val="32"/>
                      </w:rPr>
                    </w:pPr>
                    <w:r>
                      <w:rPr>
                        <w:rFonts w:ascii="Calibri" w:hAnsi="Calibri" w:eastAsia="宋体" w:cs="Times New Roman"/>
                        <w:sz w:val="32"/>
                        <w:szCs w:val="32"/>
                      </w:rPr>
                      <w:t xml:space="preserve">— </w:t>
                    </w:r>
                    <w:r>
                      <w:rPr>
                        <w:rFonts w:ascii="Calibri" w:hAnsi="Calibri" w:eastAsia="宋体" w:cs="Times New Roman"/>
                        <w:sz w:val="32"/>
                        <w:szCs w:val="32"/>
                      </w:rPr>
                      <w:fldChar w:fldCharType="begin"/>
                    </w:r>
                    <w:r>
                      <w:rPr>
                        <w:rFonts w:ascii="Calibri" w:hAnsi="Calibri" w:eastAsia="宋体" w:cs="Times New Roman"/>
                        <w:sz w:val="32"/>
                        <w:szCs w:val="32"/>
                      </w:rPr>
                      <w:instrText xml:space="preserve"> PAGE  \* MERGEFORMAT </w:instrText>
                    </w:r>
                    <w:r>
                      <w:rPr>
                        <w:rFonts w:ascii="Calibri" w:hAnsi="Calibri" w:eastAsia="宋体" w:cs="Times New Roman"/>
                        <w:sz w:val="32"/>
                        <w:szCs w:val="32"/>
                      </w:rPr>
                      <w:fldChar w:fldCharType="separate"/>
                    </w:r>
                    <w:r>
                      <w:rPr>
                        <w:rFonts w:ascii="Calibri" w:hAnsi="Calibri" w:eastAsia="宋体" w:cs="Times New Roman"/>
                        <w:sz w:val="32"/>
                        <w:szCs w:val="32"/>
                      </w:rPr>
                      <w:t>1</w:t>
                    </w:r>
                    <w:r>
                      <w:rPr>
                        <w:rFonts w:ascii="Calibri" w:hAnsi="Calibri" w:eastAsia="宋体" w:cs="Times New Roman"/>
                        <w:sz w:val="32"/>
                        <w:szCs w:val="32"/>
                      </w:rPr>
                      <w:fldChar w:fldCharType="end"/>
                    </w:r>
                    <w:r>
                      <w:rPr>
                        <w:rFonts w:ascii="Calibri" w:hAnsi="Calibri" w:eastAsia="宋体" w:cs="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5"/>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5"/>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cxNjc1MDBmNzg1OWQzMDQzNjA3NmQ5OWRmMDkifQ=="/>
  </w:docVars>
  <w:rsids>
    <w:rsidRoot w:val="00F3068A"/>
    <w:rsid w:val="00037687"/>
    <w:rsid w:val="002A131B"/>
    <w:rsid w:val="002E6F2F"/>
    <w:rsid w:val="003860C5"/>
    <w:rsid w:val="00451175"/>
    <w:rsid w:val="00463C36"/>
    <w:rsid w:val="00705635"/>
    <w:rsid w:val="007760CE"/>
    <w:rsid w:val="007D5259"/>
    <w:rsid w:val="00910BA9"/>
    <w:rsid w:val="009A3696"/>
    <w:rsid w:val="00A82093"/>
    <w:rsid w:val="00CC2CF0"/>
    <w:rsid w:val="00D8323F"/>
    <w:rsid w:val="00E24ECD"/>
    <w:rsid w:val="00E53261"/>
    <w:rsid w:val="00ED7B41"/>
    <w:rsid w:val="00F3068A"/>
    <w:rsid w:val="01D6466C"/>
    <w:rsid w:val="036C17BF"/>
    <w:rsid w:val="076F1D46"/>
    <w:rsid w:val="0D123874"/>
    <w:rsid w:val="106E75C3"/>
    <w:rsid w:val="16CF0658"/>
    <w:rsid w:val="19E85FA7"/>
    <w:rsid w:val="1A0A0EFF"/>
    <w:rsid w:val="1C8D50AC"/>
    <w:rsid w:val="22026C30"/>
    <w:rsid w:val="26785414"/>
    <w:rsid w:val="2A0D6722"/>
    <w:rsid w:val="2C187EB5"/>
    <w:rsid w:val="2F5E7918"/>
    <w:rsid w:val="38C61560"/>
    <w:rsid w:val="38DD3EFB"/>
    <w:rsid w:val="3AC9142D"/>
    <w:rsid w:val="3DA80FD2"/>
    <w:rsid w:val="43760954"/>
    <w:rsid w:val="451119CC"/>
    <w:rsid w:val="519767A2"/>
    <w:rsid w:val="564E7084"/>
    <w:rsid w:val="6F043C1E"/>
    <w:rsid w:val="7BC05180"/>
    <w:rsid w:val="7C457811"/>
    <w:rsid w:val="7CBC0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9"/>
    <w:pPr>
      <w:ind w:firstLine="643" w:firstLineChars="200"/>
      <w:outlineLvl w:val="3"/>
    </w:pPr>
    <w:rPr>
      <w:rFonts w:ascii="Cambria" w:hAnsi="Cambria"/>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annotation reference"/>
    <w:basedOn w:val="9"/>
    <w:semiHidden/>
    <w:unhideWhenUsed/>
    <w:qFormat/>
    <w:uiPriority w:val="99"/>
    <w:rPr>
      <w:sz w:val="21"/>
      <w:szCs w:val="21"/>
    </w:rPr>
  </w:style>
  <w:style w:type="paragraph" w:customStyle="1" w:styleId="11">
    <w:name w:val="标题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1654</Words>
  <Characters>1672</Characters>
  <Lines>13</Lines>
  <Paragraphs>3</Paragraphs>
  <TotalTime>25</TotalTime>
  <ScaleCrop>false</ScaleCrop>
  <LinksUpToDate>false</LinksUpToDate>
  <CharactersWithSpaces>1732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2022-03-22T01:56:00Z</dcterms:created>
  <dc:creator>Mini</dc:creator>
  <cp:lastModifiedBy>dzbdzs</cp:lastModifiedBy>
  <cp:lastPrinted>2023-03-09T00:36:22Z</cp:lastPrinted>
  <dcterms:modified xsi:type="dcterms:W3CDTF">2023-03-09T00:39:22Z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223CCC52D08A4EF988BCCFADC7F22604</vt:lpwstr>
  </property>
  <property fmtid="{D5CDD505-2E9C-101B-9397-08002B2CF9AE}" pid="4" name="_DocHome">
    <vt:i4>-2003110289</vt:i4>
  </property>
</Properties>
</file>